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68457A" w14:textId="77777777" w:rsidR="003B6E1D" w:rsidRPr="0069042F" w:rsidRDefault="003B6E1D" w:rsidP="004C1A07">
      <w:pPr>
        <w:jc w:val="center"/>
        <w:rPr>
          <w:rFonts w:eastAsia="Times New Roman" w:cs="Times New Roman"/>
          <w:sz w:val="36"/>
          <w:szCs w:val="36"/>
        </w:rPr>
      </w:pPr>
    </w:p>
    <w:p w14:paraId="753DFF4E" w14:textId="77777777" w:rsidR="003B6E1D" w:rsidRPr="0069042F" w:rsidRDefault="003B6E1D" w:rsidP="0069042F">
      <w:pPr>
        <w:widowControl w:val="0"/>
        <w:autoSpaceDE w:val="0"/>
        <w:autoSpaceDN w:val="0"/>
        <w:adjustRightInd w:val="0"/>
        <w:spacing w:after="240"/>
        <w:jc w:val="center"/>
        <w:rPr>
          <w:rFonts w:cs="Times"/>
          <w:sz w:val="52"/>
          <w:szCs w:val="52"/>
        </w:rPr>
      </w:pPr>
      <w:r w:rsidRPr="0069042F">
        <w:rPr>
          <w:rFonts w:cs="Times New Roman"/>
          <w:sz w:val="52"/>
          <w:szCs w:val="52"/>
        </w:rPr>
        <w:t>Campaign War Chests and Challenger Emergence in State Supreme Court Elections</w:t>
      </w:r>
    </w:p>
    <w:p w14:paraId="6678570F" w14:textId="77777777" w:rsidR="003B6E1D" w:rsidRPr="0069042F" w:rsidRDefault="003B6E1D" w:rsidP="0069042F">
      <w:pPr>
        <w:jc w:val="center"/>
        <w:rPr>
          <w:rFonts w:eastAsia="Times New Roman" w:cs="Times New Roman"/>
          <w:sz w:val="52"/>
          <w:szCs w:val="52"/>
        </w:rPr>
      </w:pPr>
    </w:p>
    <w:p w14:paraId="31B0D7CE" w14:textId="77777777" w:rsidR="003B6E1D" w:rsidRPr="0069042F" w:rsidRDefault="003B6E1D" w:rsidP="0069042F">
      <w:pPr>
        <w:jc w:val="center"/>
        <w:rPr>
          <w:rFonts w:eastAsia="Times New Roman" w:cs="Times New Roman"/>
          <w:sz w:val="52"/>
          <w:szCs w:val="52"/>
        </w:rPr>
      </w:pPr>
    </w:p>
    <w:p w14:paraId="6853CF41" w14:textId="77777777" w:rsidR="003B6E1D" w:rsidRPr="0069042F" w:rsidRDefault="003B6E1D" w:rsidP="0069042F">
      <w:pPr>
        <w:jc w:val="center"/>
        <w:rPr>
          <w:rFonts w:eastAsia="Times New Roman" w:cs="Times New Roman"/>
          <w:sz w:val="52"/>
          <w:szCs w:val="52"/>
        </w:rPr>
      </w:pPr>
      <w:r w:rsidRPr="0069042F">
        <w:rPr>
          <w:rFonts w:eastAsia="Times New Roman" w:cs="Times New Roman"/>
          <w:sz w:val="52"/>
          <w:szCs w:val="52"/>
        </w:rPr>
        <w:t>Drew Seib</w:t>
      </w:r>
    </w:p>
    <w:p w14:paraId="7242CD26" w14:textId="77777777" w:rsidR="003B6E1D" w:rsidRPr="0069042F" w:rsidRDefault="003B6E1D" w:rsidP="0069042F">
      <w:pPr>
        <w:jc w:val="center"/>
        <w:rPr>
          <w:rFonts w:eastAsia="Times New Roman" w:cs="Times New Roman"/>
          <w:sz w:val="52"/>
          <w:szCs w:val="52"/>
        </w:rPr>
      </w:pPr>
    </w:p>
    <w:p w14:paraId="07C51129" w14:textId="77777777" w:rsidR="003B6E1D" w:rsidRPr="0069042F" w:rsidRDefault="003B6E1D" w:rsidP="0069042F">
      <w:pPr>
        <w:jc w:val="center"/>
        <w:rPr>
          <w:rFonts w:eastAsia="Times New Roman" w:cs="Times New Roman"/>
          <w:sz w:val="52"/>
          <w:szCs w:val="52"/>
        </w:rPr>
      </w:pPr>
      <w:r w:rsidRPr="0069042F">
        <w:rPr>
          <w:rFonts w:eastAsia="Times New Roman" w:cs="Times New Roman"/>
          <w:sz w:val="52"/>
          <w:szCs w:val="52"/>
        </w:rPr>
        <w:t>Murray State University</w:t>
      </w:r>
    </w:p>
    <w:p w14:paraId="2E300A2B" w14:textId="77777777" w:rsidR="003B6E1D" w:rsidRPr="0069042F" w:rsidRDefault="003B6E1D" w:rsidP="004C1A07">
      <w:pPr>
        <w:jc w:val="center"/>
        <w:rPr>
          <w:rFonts w:eastAsia="Times New Roman" w:cs="Times New Roman"/>
          <w:sz w:val="36"/>
          <w:szCs w:val="36"/>
        </w:rPr>
      </w:pPr>
    </w:p>
    <w:p w14:paraId="0402D6E9" w14:textId="77777777" w:rsidR="003B6E1D" w:rsidRPr="0069042F" w:rsidRDefault="003B6E1D" w:rsidP="004C1A07">
      <w:pPr>
        <w:jc w:val="center"/>
        <w:rPr>
          <w:rFonts w:eastAsia="Times New Roman" w:cs="Times New Roman"/>
          <w:sz w:val="36"/>
          <w:szCs w:val="36"/>
        </w:rPr>
      </w:pPr>
    </w:p>
    <w:p w14:paraId="7BFB6076" w14:textId="77777777" w:rsidR="003B6E1D" w:rsidRPr="0069042F" w:rsidRDefault="003B6E1D">
      <w:pPr>
        <w:rPr>
          <w:rFonts w:eastAsia="Times New Roman" w:cs="Times New Roman"/>
          <w:sz w:val="36"/>
          <w:szCs w:val="36"/>
        </w:rPr>
      </w:pPr>
      <w:r w:rsidRPr="0069042F">
        <w:rPr>
          <w:rFonts w:eastAsia="Times New Roman" w:cs="Times New Roman"/>
          <w:sz w:val="36"/>
          <w:szCs w:val="36"/>
        </w:rPr>
        <w:br w:type="page"/>
      </w:r>
    </w:p>
    <w:p w14:paraId="75B09B6E" w14:textId="77777777" w:rsidR="003B6E1D" w:rsidRPr="0069042F" w:rsidRDefault="003B6E1D" w:rsidP="004C1A07">
      <w:pPr>
        <w:jc w:val="center"/>
        <w:rPr>
          <w:rFonts w:eastAsia="Times New Roman" w:cs="Times New Roman"/>
          <w:sz w:val="36"/>
          <w:szCs w:val="36"/>
        </w:rPr>
      </w:pPr>
    </w:p>
    <w:p w14:paraId="1347C1E0" w14:textId="77777777" w:rsidR="004C1A07" w:rsidRPr="0069042F" w:rsidRDefault="004C1A07" w:rsidP="004C1A07">
      <w:pPr>
        <w:jc w:val="center"/>
        <w:rPr>
          <w:rFonts w:eastAsia="Times New Roman" w:cs="Times New Roman"/>
          <w:sz w:val="52"/>
          <w:szCs w:val="52"/>
        </w:rPr>
      </w:pPr>
      <w:r w:rsidRPr="0069042F">
        <w:rPr>
          <w:rFonts w:eastAsia="Times New Roman" w:cs="Times New Roman"/>
          <w:sz w:val="52"/>
          <w:szCs w:val="52"/>
        </w:rPr>
        <w:t>Introduction</w:t>
      </w:r>
    </w:p>
    <w:p w14:paraId="42E56C0B" w14:textId="77777777" w:rsidR="004C1A07" w:rsidRPr="0069042F" w:rsidRDefault="004C1A07" w:rsidP="004C1A07">
      <w:pPr>
        <w:rPr>
          <w:rFonts w:eastAsia="Times New Roman" w:cs="Times New Roman"/>
          <w:sz w:val="36"/>
          <w:szCs w:val="36"/>
        </w:rPr>
      </w:pPr>
    </w:p>
    <w:p w14:paraId="766EA847" w14:textId="77777777" w:rsidR="004C1A07" w:rsidRPr="0069042F" w:rsidRDefault="004C1A07" w:rsidP="004C1A07">
      <w:pPr>
        <w:widowControl w:val="0"/>
        <w:autoSpaceDE w:val="0"/>
        <w:autoSpaceDN w:val="0"/>
        <w:adjustRightInd w:val="0"/>
        <w:spacing w:after="240"/>
        <w:rPr>
          <w:rFonts w:cs="Times New Roman"/>
          <w:sz w:val="36"/>
          <w:szCs w:val="36"/>
        </w:rPr>
      </w:pPr>
      <w:r w:rsidRPr="0069042F">
        <w:rPr>
          <w:rFonts w:cs="Times New Roman"/>
          <w:sz w:val="36"/>
          <w:szCs w:val="36"/>
        </w:rPr>
        <w:t>Competitive elections are a cornerstone of democratic elections. Yet there is concern that incumbents may be able to deter challengers by using signals, such as the size of the incumbent’s war chests, thus reducing the competitiveness of elections. Scholars have started to examine what influences a challenger’s decision to enter an election. Most of the literature to date has focused on legislative elections (Box-</w:t>
      </w:r>
      <w:proofErr w:type="spellStart"/>
      <w:r w:rsidRPr="0069042F">
        <w:rPr>
          <w:rFonts w:cs="Times New Roman"/>
          <w:sz w:val="36"/>
          <w:szCs w:val="36"/>
        </w:rPr>
        <w:t>Steffensmeier</w:t>
      </w:r>
      <w:proofErr w:type="spellEnd"/>
      <w:r w:rsidRPr="0069042F">
        <w:rPr>
          <w:rFonts w:cs="Times New Roman"/>
          <w:sz w:val="36"/>
          <w:szCs w:val="36"/>
        </w:rPr>
        <w:t xml:space="preserve"> 1996 and </w:t>
      </w:r>
      <w:proofErr w:type="spellStart"/>
      <w:r w:rsidRPr="0069042F">
        <w:rPr>
          <w:rFonts w:cs="Times New Roman"/>
          <w:sz w:val="36"/>
          <w:szCs w:val="36"/>
        </w:rPr>
        <w:t>Goodliffe</w:t>
      </w:r>
      <w:proofErr w:type="spellEnd"/>
      <w:r w:rsidRPr="0069042F">
        <w:rPr>
          <w:rFonts w:cs="Times New Roman"/>
          <w:sz w:val="36"/>
          <w:szCs w:val="36"/>
        </w:rPr>
        <w:t xml:space="preserve"> 2002). This study will expand on previous studies accessing if campaign war chests deter the entrance of challengers, especially strong challengers, in state </w:t>
      </w:r>
      <w:proofErr w:type="gramStart"/>
      <w:r w:rsidRPr="0069042F">
        <w:rPr>
          <w:rFonts w:cs="Times New Roman"/>
          <w:sz w:val="36"/>
          <w:szCs w:val="36"/>
        </w:rPr>
        <w:t>supreme court</w:t>
      </w:r>
      <w:proofErr w:type="gramEnd"/>
      <w:r w:rsidRPr="0069042F">
        <w:rPr>
          <w:rFonts w:cs="Times New Roman"/>
          <w:sz w:val="36"/>
          <w:szCs w:val="36"/>
        </w:rPr>
        <w:t xml:space="preserve"> elections.</w:t>
      </w:r>
    </w:p>
    <w:p w14:paraId="0E3A942C" w14:textId="77777777" w:rsidR="004C1A07" w:rsidRPr="0069042F" w:rsidRDefault="004C1A07" w:rsidP="004C1A07">
      <w:pPr>
        <w:widowControl w:val="0"/>
        <w:autoSpaceDE w:val="0"/>
        <w:autoSpaceDN w:val="0"/>
        <w:adjustRightInd w:val="0"/>
        <w:spacing w:after="240"/>
        <w:rPr>
          <w:rFonts w:cs="Times New Roman"/>
          <w:sz w:val="36"/>
          <w:szCs w:val="36"/>
        </w:rPr>
      </w:pPr>
    </w:p>
    <w:p w14:paraId="78531082" w14:textId="77777777" w:rsidR="004C1A07" w:rsidRPr="0069042F" w:rsidRDefault="004C1A07">
      <w:pPr>
        <w:rPr>
          <w:rFonts w:cs="Times New Roman"/>
          <w:sz w:val="36"/>
          <w:szCs w:val="36"/>
        </w:rPr>
      </w:pPr>
      <w:r w:rsidRPr="0069042F">
        <w:rPr>
          <w:rFonts w:cs="Times New Roman"/>
          <w:sz w:val="36"/>
          <w:szCs w:val="36"/>
        </w:rPr>
        <w:br w:type="page"/>
      </w:r>
    </w:p>
    <w:p w14:paraId="25AD31BB" w14:textId="77777777" w:rsidR="004C1A07" w:rsidRPr="0069042F" w:rsidRDefault="004C1A07" w:rsidP="003B6E1D">
      <w:pPr>
        <w:widowControl w:val="0"/>
        <w:autoSpaceDE w:val="0"/>
        <w:autoSpaceDN w:val="0"/>
        <w:adjustRightInd w:val="0"/>
        <w:spacing w:after="240"/>
        <w:jc w:val="center"/>
        <w:rPr>
          <w:rFonts w:cs="Times New Roman"/>
          <w:b/>
          <w:sz w:val="52"/>
          <w:szCs w:val="52"/>
        </w:rPr>
      </w:pPr>
      <w:r w:rsidRPr="0069042F">
        <w:rPr>
          <w:rFonts w:cs="Times New Roman"/>
          <w:b/>
          <w:sz w:val="52"/>
          <w:szCs w:val="52"/>
        </w:rPr>
        <w:t>Theory</w:t>
      </w:r>
    </w:p>
    <w:p w14:paraId="005998FF" w14:textId="2AE19BBF" w:rsidR="003B6E1D" w:rsidRPr="0069042F" w:rsidRDefault="00A0096E" w:rsidP="004C1A07">
      <w:pPr>
        <w:widowControl w:val="0"/>
        <w:autoSpaceDE w:val="0"/>
        <w:autoSpaceDN w:val="0"/>
        <w:adjustRightInd w:val="0"/>
        <w:spacing w:after="240"/>
        <w:rPr>
          <w:rFonts w:cs="Times New Roman"/>
          <w:sz w:val="36"/>
          <w:szCs w:val="36"/>
        </w:rPr>
      </w:pPr>
      <w:r w:rsidRPr="0069042F">
        <w:rPr>
          <w:rFonts w:cs="Times New Roman"/>
          <w:sz w:val="36"/>
          <w:szCs w:val="36"/>
        </w:rPr>
        <w:t>Incumbents would prefer to have no challenger, but if there is a challenger, they would prefer for it to be a weak challenger (</w:t>
      </w:r>
      <w:r w:rsidRPr="0069042F">
        <w:rPr>
          <w:rFonts w:cs="Times"/>
          <w:sz w:val="36"/>
          <w:szCs w:val="36"/>
        </w:rPr>
        <w:t>Box-</w:t>
      </w:r>
      <w:proofErr w:type="spellStart"/>
      <w:r w:rsidRPr="0069042F">
        <w:rPr>
          <w:rFonts w:cs="Times"/>
          <w:sz w:val="36"/>
          <w:szCs w:val="36"/>
        </w:rPr>
        <w:t>Steffensmeier</w:t>
      </w:r>
      <w:proofErr w:type="spellEnd"/>
      <w:r w:rsidRPr="0069042F">
        <w:rPr>
          <w:rFonts w:cs="Times"/>
          <w:sz w:val="36"/>
          <w:szCs w:val="36"/>
        </w:rPr>
        <w:t xml:space="preserve"> 1996).  One </w:t>
      </w:r>
      <w:r w:rsidR="0069042F" w:rsidRPr="0069042F">
        <w:rPr>
          <w:rFonts w:cs="Times"/>
          <w:sz w:val="36"/>
          <w:szCs w:val="36"/>
        </w:rPr>
        <w:t xml:space="preserve">way </w:t>
      </w:r>
      <w:r w:rsidR="0069042F" w:rsidRPr="0069042F">
        <w:rPr>
          <w:rFonts w:cs="Times New Roman"/>
          <w:sz w:val="36"/>
          <w:szCs w:val="36"/>
        </w:rPr>
        <w:t>incumbents</w:t>
      </w:r>
      <w:r w:rsidRPr="0069042F">
        <w:rPr>
          <w:rFonts w:cs="Times New Roman"/>
          <w:sz w:val="36"/>
          <w:szCs w:val="36"/>
        </w:rPr>
        <w:t xml:space="preserve"> can deter strong challengers is by accumulating a large campai</w:t>
      </w:r>
      <w:r w:rsidR="00AC48B5">
        <w:rPr>
          <w:rFonts w:cs="Times New Roman"/>
          <w:sz w:val="36"/>
          <w:szCs w:val="36"/>
        </w:rPr>
        <w:t xml:space="preserve">gn </w:t>
      </w:r>
      <w:proofErr w:type="spellStart"/>
      <w:r w:rsidR="00AC48B5">
        <w:rPr>
          <w:rFonts w:cs="Times New Roman"/>
          <w:sz w:val="36"/>
          <w:szCs w:val="36"/>
        </w:rPr>
        <w:t>war</w:t>
      </w:r>
      <w:r w:rsidRPr="0069042F">
        <w:rPr>
          <w:rFonts w:cs="Times New Roman"/>
          <w:sz w:val="36"/>
          <w:szCs w:val="36"/>
        </w:rPr>
        <w:t>chest</w:t>
      </w:r>
      <w:r w:rsidR="00D25633">
        <w:rPr>
          <w:rFonts w:cs="Times New Roman"/>
          <w:sz w:val="36"/>
          <w:szCs w:val="36"/>
        </w:rPr>
        <w:t>s</w:t>
      </w:r>
      <w:proofErr w:type="spellEnd"/>
      <w:r w:rsidR="003B6E1D" w:rsidRPr="0069042F">
        <w:rPr>
          <w:rFonts w:cs="Times New Roman"/>
          <w:sz w:val="36"/>
          <w:szCs w:val="36"/>
        </w:rPr>
        <w:t xml:space="preserve"> (</w:t>
      </w:r>
      <w:r w:rsidR="0069042F" w:rsidRPr="0069042F">
        <w:rPr>
          <w:rFonts w:cs="Times"/>
          <w:sz w:val="36"/>
          <w:szCs w:val="36"/>
        </w:rPr>
        <w:t>Box-</w:t>
      </w:r>
      <w:proofErr w:type="spellStart"/>
      <w:r w:rsidR="0069042F" w:rsidRPr="0069042F">
        <w:rPr>
          <w:rFonts w:cs="Times"/>
          <w:sz w:val="36"/>
          <w:szCs w:val="36"/>
        </w:rPr>
        <w:t>Steffensmeier</w:t>
      </w:r>
      <w:proofErr w:type="spellEnd"/>
      <w:r w:rsidR="0069042F" w:rsidRPr="0069042F">
        <w:rPr>
          <w:rFonts w:cs="Times"/>
          <w:sz w:val="36"/>
          <w:szCs w:val="36"/>
        </w:rPr>
        <w:t xml:space="preserve"> 1996; </w:t>
      </w:r>
      <w:proofErr w:type="spellStart"/>
      <w:r w:rsidR="0069042F" w:rsidRPr="0069042F">
        <w:rPr>
          <w:rFonts w:cs="Times"/>
          <w:sz w:val="36"/>
          <w:szCs w:val="36"/>
        </w:rPr>
        <w:t>Goodliffe</w:t>
      </w:r>
      <w:proofErr w:type="spellEnd"/>
      <w:r w:rsidR="0069042F" w:rsidRPr="0069042F">
        <w:rPr>
          <w:rFonts w:cs="Times"/>
          <w:sz w:val="36"/>
          <w:szCs w:val="36"/>
        </w:rPr>
        <w:t xml:space="preserve"> 2001)</w:t>
      </w:r>
      <w:r w:rsidRPr="0069042F">
        <w:rPr>
          <w:rFonts w:cs="Times New Roman"/>
          <w:sz w:val="36"/>
          <w:szCs w:val="36"/>
        </w:rPr>
        <w:t xml:space="preserve">.  The large </w:t>
      </w:r>
      <w:proofErr w:type="spellStart"/>
      <w:r w:rsidR="00AC48B5">
        <w:rPr>
          <w:rFonts w:cs="Times New Roman"/>
          <w:sz w:val="36"/>
          <w:szCs w:val="36"/>
        </w:rPr>
        <w:t>war</w:t>
      </w:r>
      <w:r w:rsidR="0069042F" w:rsidRPr="0069042F">
        <w:rPr>
          <w:rFonts w:cs="Times New Roman"/>
          <w:sz w:val="36"/>
          <w:szCs w:val="36"/>
        </w:rPr>
        <w:t>chest</w:t>
      </w:r>
      <w:proofErr w:type="spellEnd"/>
      <w:r w:rsidRPr="0069042F">
        <w:rPr>
          <w:rFonts w:cs="Times New Roman"/>
          <w:sz w:val="36"/>
          <w:szCs w:val="36"/>
        </w:rPr>
        <w:t xml:space="preserve"> plays two roles.  First it show</w:t>
      </w:r>
      <w:r w:rsidR="0069042F" w:rsidRPr="0069042F">
        <w:rPr>
          <w:rFonts w:cs="Times New Roman"/>
          <w:sz w:val="36"/>
          <w:szCs w:val="36"/>
        </w:rPr>
        <w:t>s</w:t>
      </w:r>
      <w:r w:rsidRPr="0069042F">
        <w:rPr>
          <w:rFonts w:cs="Times New Roman"/>
          <w:sz w:val="36"/>
          <w:szCs w:val="36"/>
        </w:rPr>
        <w:t xml:space="preserve"> that the incumbent has considerable support.  Second, money is fungible and can easily be transferred into other campaign resources, such as </w:t>
      </w:r>
      <w:r w:rsidR="003B6E1D" w:rsidRPr="0069042F">
        <w:rPr>
          <w:rFonts w:cs="Times New Roman"/>
          <w:sz w:val="36"/>
          <w:szCs w:val="36"/>
        </w:rPr>
        <w:t xml:space="preserve">staff and campaign </w:t>
      </w:r>
      <w:r w:rsidR="0069042F" w:rsidRPr="0069042F">
        <w:rPr>
          <w:rFonts w:cs="Times New Roman"/>
          <w:sz w:val="36"/>
          <w:szCs w:val="36"/>
        </w:rPr>
        <w:t>commercials</w:t>
      </w:r>
      <w:r w:rsidR="003B6E1D" w:rsidRPr="0069042F">
        <w:rPr>
          <w:rFonts w:cs="Times New Roman"/>
          <w:sz w:val="36"/>
          <w:szCs w:val="36"/>
        </w:rPr>
        <w:t>, both of which are essential to being able to compete competitively</w:t>
      </w:r>
      <w:r w:rsidR="00AC48B5">
        <w:rPr>
          <w:rFonts w:cs="Times New Roman"/>
          <w:sz w:val="36"/>
          <w:szCs w:val="36"/>
        </w:rPr>
        <w:t xml:space="preserve"> (</w:t>
      </w:r>
      <w:r w:rsidR="0012061C">
        <w:rPr>
          <w:rFonts w:cs="Times New Roman"/>
          <w:sz w:val="36"/>
          <w:szCs w:val="36"/>
        </w:rPr>
        <w:t>Kahn and Kenny 1999)</w:t>
      </w:r>
      <w:r w:rsidR="003B6E1D" w:rsidRPr="0069042F">
        <w:rPr>
          <w:rFonts w:cs="Times New Roman"/>
          <w:sz w:val="36"/>
          <w:szCs w:val="36"/>
        </w:rPr>
        <w:t>.</w:t>
      </w:r>
      <w:r w:rsidRPr="0069042F">
        <w:rPr>
          <w:rFonts w:cs="Times New Roman"/>
          <w:sz w:val="36"/>
          <w:szCs w:val="36"/>
        </w:rPr>
        <w:t xml:space="preserve"> When a potential challenger sees the large </w:t>
      </w:r>
      <w:proofErr w:type="spellStart"/>
      <w:r w:rsidRPr="0069042F">
        <w:rPr>
          <w:rFonts w:cs="Times New Roman"/>
          <w:sz w:val="36"/>
          <w:szCs w:val="36"/>
        </w:rPr>
        <w:t>warchest</w:t>
      </w:r>
      <w:proofErr w:type="spellEnd"/>
      <w:r w:rsidRPr="0069042F">
        <w:rPr>
          <w:rFonts w:cs="Times New Roman"/>
          <w:sz w:val="36"/>
          <w:szCs w:val="36"/>
        </w:rPr>
        <w:t>, they realize that it will take a lot of work to try to defeat the incumbent</w:t>
      </w:r>
      <w:r w:rsidR="003B6E1D" w:rsidRPr="0069042F">
        <w:rPr>
          <w:rFonts w:cs="Times New Roman"/>
          <w:sz w:val="36"/>
          <w:szCs w:val="36"/>
        </w:rPr>
        <w:t xml:space="preserve">.  Rather than challenge an incumbent with a large </w:t>
      </w:r>
      <w:r w:rsidR="0069042F" w:rsidRPr="0069042F">
        <w:rPr>
          <w:rFonts w:cs="Times New Roman"/>
          <w:sz w:val="36"/>
          <w:szCs w:val="36"/>
        </w:rPr>
        <w:t>war chest</w:t>
      </w:r>
      <w:r w:rsidR="003B6E1D" w:rsidRPr="0069042F">
        <w:rPr>
          <w:rFonts w:cs="Times New Roman"/>
          <w:sz w:val="36"/>
          <w:szCs w:val="36"/>
        </w:rPr>
        <w:t>, the incumbent strategically chooses to wait to run for office until either there is no incumbent or the tides tur</w:t>
      </w:r>
      <w:r w:rsidR="0069042F" w:rsidRPr="0069042F">
        <w:rPr>
          <w:rFonts w:cs="Times New Roman"/>
          <w:sz w:val="36"/>
          <w:szCs w:val="36"/>
        </w:rPr>
        <w:t>n</w:t>
      </w:r>
      <w:r w:rsidR="003B6E1D" w:rsidRPr="0069042F">
        <w:rPr>
          <w:rFonts w:cs="Times New Roman"/>
          <w:sz w:val="36"/>
          <w:szCs w:val="36"/>
        </w:rPr>
        <w:t xml:space="preserve"> and the incumbent has a smaller </w:t>
      </w:r>
      <w:proofErr w:type="spellStart"/>
      <w:r w:rsidR="003B6E1D" w:rsidRPr="0069042F">
        <w:rPr>
          <w:rFonts w:cs="Times New Roman"/>
          <w:sz w:val="36"/>
          <w:szCs w:val="36"/>
        </w:rPr>
        <w:t>warchest</w:t>
      </w:r>
      <w:proofErr w:type="spellEnd"/>
      <w:r w:rsidR="003B6E1D" w:rsidRPr="0069042F">
        <w:rPr>
          <w:rFonts w:cs="Times New Roman"/>
          <w:sz w:val="36"/>
          <w:szCs w:val="36"/>
        </w:rPr>
        <w:t xml:space="preserve">.  </w:t>
      </w:r>
    </w:p>
    <w:p w14:paraId="084F1BBF" w14:textId="7CE57652" w:rsidR="00C478B9" w:rsidRPr="0069042F" w:rsidRDefault="003B6E1D" w:rsidP="004C1A07">
      <w:pPr>
        <w:widowControl w:val="0"/>
        <w:autoSpaceDE w:val="0"/>
        <w:autoSpaceDN w:val="0"/>
        <w:adjustRightInd w:val="0"/>
        <w:spacing w:after="240"/>
        <w:rPr>
          <w:rFonts w:cs="Times New Roman"/>
          <w:sz w:val="36"/>
          <w:szCs w:val="36"/>
        </w:rPr>
      </w:pPr>
      <w:r w:rsidRPr="0069042F">
        <w:rPr>
          <w:rFonts w:cs="Times New Roman"/>
          <w:sz w:val="36"/>
          <w:szCs w:val="36"/>
        </w:rPr>
        <w:t>W</w:t>
      </w:r>
      <w:r w:rsidR="00D25633">
        <w:rPr>
          <w:rFonts w:cs="Times New Roman"/>
          <w:sz w:val="36"/>
          <w:szCs w:val="36"/>
        </w:rPr>
        <w:t>hen a strong challenger chooses</w:t>
      </w:r>
      <w:r w:rsidRPr="0069042F">
        <w:rPr>
          <w:rFonts w:cs="Times New Roman"/>
          <w:sz w:val="36"/>
          <w:szCs w:val="36"/>
        </w:rPr>
        <w:t xml:space="preserve"> not to run, it opens up the opportunity for a weak challenger to run</w:t>
      </w:r>
      <w:r w:rsidR="0069042F" w:rsidRPr="0069042F">
        <w:rPr>
          <w:rFonts w:cs="Times New Roman"/>
          <w:sz w:val="36"/>
          <w:szCs w:val="36"/>
        </w:rPr>
        <w:t xml:space="preserve"> (Hall and </w:t>
      </w:r>
      <w:proofErr w:type="spellStart"/>
      <w:r w:rsidR="0069042F" w:rsidRPr="0069042F">
        <w:rPr>
          <w:rFonts w:cs="Times New Roman"/>
          <w:sz w:val="36"/>
          <w:szCs w:val="36"/>
        </w:rPr>
        <w:t>Boneau</w:t>
      </w:r>
      <w:proofErr w:type="spellEnd"/>
      <w:r w:rsidR="0069042F" w:rsidRPr="0069042F">
        <w:rPr>
          <w:rFonts w:cs="Times New Roman"/>
          <w:sz w:val="36"/>
          <w:szCs w:val="36"/>
        </w:rPr>
        <w:t xml:space="preserve"> 2006)</w:t>
      </w:r>
      <w:r w:rsidRPr="0069042F">
        <w:rPr>
          <w:rFonts w:cs="Times New Roman"/>
          <w:sz w:val="36"/>
          <w:szCs w:val="36"/>
        </w:rPr>
        <w:t>.  Weak challengers will run even when there is a large campaign war chest because they need political experience and they are doing a favor to their party by appearing on the ballot under the party label—a favor that may someday be repaid with campaign support.</w:t>
      </w:r>
    </w:p>
    <w:p w14:paraId="04F203B8" w14:textId="77777777" w:rsidR="00217108" w:rsidRDefault="00217108" w:rsidP="0069042F">
      <w:pPr>
        <w:widowControl w:val="0"/>
        <w:autoSpaceDE w:val="0"/>
        <w:autoSpaceDN w:val="0"/>
        <w:adjustRightInd w:val="0"/>
        <w:spacing w:after="240"/>
        <w:jc w:val="center"/>
        <w:rPr>
          <w:rFonts w:cs="Times New Roman"/>
          <w:sz w:val="52"/>
          <w:szCs w:val="52"/>
        </w:rPr>
      </w:pPr>
    </w:p>
    <w:p w14:paraId="5DE82F33" w14:textId="77777777" w:rsidR="0069042F" w:rsidRPr="0069042F" w:rsidRDefault="0069042F" w:rsidP="0069042F">
      <w:pPr>
        <w:widowControl w:val="0"/>
        <w:autoSpaceDE w:val="0"/>
        <w:autoSpaceDN w:val="0"/>
        <w:adjustRightInd w:val="0"/>
        <w:spacing w:after="240"/>
        <w:jc w:val="center"/>
        <w:rPr>
          <w:rFonts w:cs="Times New Roman"/>
          <w:sz w:val="52"/>
          <w:szCs w:val="52"/>
        </w:rPr>
      </w:pPr>
      <w:r w:rsidRPr="0069042F">
        <w:rPr>
          <w:rFonts w:cs="Times New Roman"/>
          <w:sz w:val="52"/>
          <w:szCs w:val="52"/>
        </w:rPr>
        <w:t>Hypotheses</w:t>
      </w:r>
    </w:p>
    <w:p w14:paraId="2F67A451" w14:textId="77777777" w:rsidR="0069042F" w:rsidRPr="0069042F" w:rsidRDefault="0069042F" w:rsidP="004C1A07">
      <w:pPr>
        <w:widowControl w:val="0"/>
        <w:autoSpaceDE w:val="0"/>
        <w:autoSpaceDN w:val="0"/>
        <w:adjustRightInd w:val="0"/>
        <w:spacing w:after="240"/>
        <w:rPr>
          <w:rFonts w:cs="Times New Roman"/>
          <w:sz w:val="36"/>
          <w:szCs w:val="36"/>
        </w:rPr>
      </w:pPr>
    </w:p>
    <w:p w14:paraId="36177817" w14:textId="77777777" w:rsidR="0069042F" w:rsidRPr="0069042F" w:rsidRDefault="0069042F" w:rsidP="004C1A07">
      <w:pPr>
        <w:widowControl w:val="0"/>
        <w:autoSpaceDE w:val="0"/>
        <w:autoSpaceDN w:val="0"/>
        <w:adjustRightInd w:val="0"/>
        <w:spacing w:after="240"/>
        <w:rPr>
          <w:rFonts w:cs="Times New Roman"/>
          <w:sz w:val="36"/>
          <w:szCs w:val="36"/>
        </w:rPr>
      </w:pPr>
      <w:r w:rsidRPr="0069042F">
        <w:rPr>
          <w:rFonts w:cs="Times New Roman"/>
          <w:sz w:val="36"/>
          <w:szCs w:val="36"/>
        </w:rPr>
        <w:t xml:space="preserve">Hypotheses 1:  As the size of an incumbent’s </w:t>
      </w:r>
      <w:proofErr w:type="spellStart"/>
      <w:r w:rsidRPr="0069042F">
        <w:rPr>
          <w:rFonts w:cs="Times New Roman"/>
          <w:sz w:val="36"/>
          <w:szCs w:val="36"/>
        </w:rPr>
        <w:t>warchest</w:t>
      </w:r>
      <w:proofErr w:type="spellEnd"/>
      <w:r w:rsidRPr="0069042F">
        <w:rPr>
          <w:rFonts w:cs="Times New Roman"/>
          <w:sz w:val="36"/>
          <w:szCs w:val="36"/>
        </w:rPr>
        <w:t xml:space="preserve"> increases, the probability that the incumbent faces a strong challenger decreases.</w:t>
      </w:r>
    </w:p>
    <w:p w14:paraId="3D66DAD4" w14:textId="77777777" w:rsidR="0069042F" w:rsidRPr="0069042F" w:rsidRDefault="0069042F" w:rsidP="004C1A07">
      <w:pPr>
        <w:widowControl w:val="0"/>
        <w:autoSpaceDE w:val="0"/>
        <w:autoSpaceDN w:val="0"/>
        <w:adjustRightInd w:val="0"/>
        <w:spacing w:after="240"/>
        <w:rPr>
          <w:rFonts w:cs="Times New Roman"/>
          <w:sz w:val="36"/>
          <w:szCs w:val="36"/>
        </w:rPr>
      </w:pPr>
      <w:r w:rsidRPr="0069042F">
        <w:rPr>
          <w:rFonts w:cs="Times New Roman"/>
          <w:sz w:val="36"/>
          <w:szCs w:val="36"/>
        </w:rPr>
        <w:t xml:space="preserve">Hypothesis 2: When a strong challenger does not immerge, a weak challenger will immerge, regardless of the size of the </w:t>
      </w:r>
      <w:proofErr w:type="spellStart"/>
      <w:r w:rsidRPr="0069042F">
        <w:rPr>
          <w:rFonts w:cs="Times New Roman"/>
          <w:sz w:val="36"/>
          <w:szCs w:val="36"/>
        </w:rPr>
        <w:t>warchest</w:t>
      </w:r>
      <w:proofErr w:type="spellEnd"/>
      <w:r w:rsidRPr="0069042F">
        <w:rPr>
          <w:rFonts w:cs="Times New Roman"/>
          <w:sz w:val="36"/>
          <w:szCs w:val="36"/>
        </w:rPr>
        <w:t>.</w:t>
      </w:r>
    </w:p>
    <w:p w14:paraId="2DE5D401" w14:textId="77777777" w:rsidR="004C1A07" w:rsidRPr="0069042F" w:rsidRDefault="004C1A07" w:rsidP="004C1A07">
      <w:pPr>
        <w:widowControl w:val="0"/>
        <w:autoSpaceDE w:val="0"/>
        <w:autoSpaceDN w:val="0"/>
        <w:adjustRightInd w:val="0"/>
        <w:spacing w:after="240"/>
        <w:rPr>
          <w:rFonts w:cs="Times"/>
          <w:sz w:val="36"/>
          <w:szCs w:val="36"/>
        </w:rPr>
      </w:pPr>
    </w:p>
    <w:p w14:paraId="6502EDCC" w14:textId="77777777" w:rsidR="002E5329" w:rsidRPr="0069042F" w:rsidRDefault="002E5329">
      <w:pPr>
        <w:rPr>
          <w:sz w:val="36"/>
          <w:szCs w:val="36"/>
        </w:rPr>
      </w:pPr>
    </w:p>
    <w:p w14:paraId="3C69973B" w14:textId="77777777" w:rsidR="0069042F" w:rsidRDefault="0069042F">
      <w:pPr>
        <w:rPr>
          <w:sz w:val="36"/>
          <w:szCs w:val="36"/>
        </w:rPr>
      </w:pPr>
      <w:r>
        <w:rPr>
          <w:sz w:val="36"/>
          <w:szCs w:val="36"/>
        </w:rPr>
        <w:br w:type="page"/>
      </w:r>
    </w:p>
    <w:p w14:paraId="39DB9065" w14:textId="77777777" w:rsidR="00FB6070" w:rsidRPr="0069042F" w:rsidRDefault="00FB6070" w:rsidP="0069042F">
      <w:pPr>
        <w:jc w:val="center"/>
        <w:rPr>
          <w:sz w:val="52"/>
          <w:szCs w:val="52"/>
        </w:rPr>
      </w:pPr>
      <w:bookmarkStart w:id="0" w:name="_GoBack"/>
      <w:bookmarkEnd w:id="0"/>
      <w:r w:rsidRPr="0069042F">
        <w:rPr>
          <w:sz w:val="52"/>
          <w:szCs w:val="52"/>
        </w:rPr>
        <w:t>Data and Methods</w:t>
      </w:r>
    </w:p>
    <w:p w14:paraId="373F43FD" w14:textId="77777777" w:rsidR="00FB6070" w:rsidRPr="0069042F" w:rsidRDefault="00FB6070">
      <w:pPr>
        <w:rPr>
          <w:sz w:val="36"/>
          <w:szCs w:val="36"/>
        </w:rPr>
      </w:pPr>
    </w:p>
    <w:p w14:paraId="11201DD3" w14:textId="2C8D3F45" w:rsidR="00FB6070" w:rsidRDefault="00FB6070" w:rsidP="008078AE">
      <w:pPr>
        <w:widowControl w:val="0"/>
        <w:autoSpaceDE w:val="0"/>
        <w:autoSpaceDN w:val="0"/>
        <w:adjustRightInd w:val="0"/>
        <w:spacing w:after="240"/>
        <w:ind w:firstLine="720"/>
        <w:rPr>
          <w:rFonts w:cs="Times New Roman"/>
          <w:sz w:val="36"/>
          <w:szCs w:val="36"/>
        </w:rPr>
      </w:pPr>
      <w:r w:rsidRPr="0069042F">
        <w:rPr>
          <w:rFonts w:cs="Times New Roman"/>
          <w:sz w:val="36"/>
          <w:szCs w:val="36"/>
        </w:rPr>
        <w:t xml:space="preserve">I gathered data from 1900 to 2006 on state </w:t>
      </w:r>
      <w:proofErr w:type="gramStart"/>
      <w:r w:rsidRPr="0069042F">
        <w:rPr>
          <w:rFonts w:cs="Times New Roman"/>
          <w:sz w:val="36"/>
          <w:szCs w:val="36"/>
        </w:rPr>
        <w:t>supreme court</w:t>
      </w:r>
      <w:proofErr w:type="gramEnd"/>
      <w:r w:rsidRPr="0069042F">
        <w:rPr>
          <w:rFonts w:cs="Times New Roman"/>
          <w:sz w:val="36"/>
          <w:szCs w:val="36"/>
        </w:rPr>
        <w:t xml:space="preserve"> elections.  The dependent variabl</w:t>
      </w:r>
      <w:r w:rsidR="00A0096E" w:rsidRPr="0069042F">
        <w:rPr>
          <w:rFonts w:cs="Times New Roman"/>
          <w:sz w:val="36"/>
          <w:szCs w:val="36"/>
        </w:rPr>
        <w:t xml:space="preserve">e </w:t>
      </w:r>
      <w:r w:rsidR="00D25633">
        <w:rPr>
          <w:rFonts w:cs="Times New Roman"/>
          <w:sz w:val="36"/>
          <w:szCs w:val="36"/>
        </w:rPr>
        <w:t xml:space="preserve">is the presence of a challenger and data for this variable </w:t>
      </w:r>
      <w:r w:rsidR="00A0096E" w:rsidRPr="0069042F">
        <w:rPr>
          <w:rFonts w:cs="Times New Roman"/>
          <w:sz w:val="36"/>
          <w:szCs w:val="36"/>
        </w:rPr>
        <w:t>was gather from secretary of state websites</w:t>
      </w:r>
      <w:r w:rsidRPr="0069042F">
        <w:rPr>
          <w:rFonts w:cs="Times New Roman"/>
          <w:sz w:val="36"/>
          <w:szCs w:val="36"/>
        </w:rPr>
        <w:t xml:space="preserve">. Due to the likelihood that a weak challenger emerges when strong challengers fail to emerge, a </w:t>
      </w:r>
      <w:proofErr w:type="spellStart"/>
      <w:r w:rsidRPr="0069042F">
        <w:rPr>
          <w:rFonts w:cs="Times New Roman"/>
          <w:sz w:val="36"/>
          <w:szCs w:val="36"/>
        </w:rPr>
        <w:t>bivatiate</w:t>
      </w:r>
      <w:proofErr w:type="spellEnd"/>
      <w:r w:rsidRPr="0069042F">
        <w:rPr>
          <w:rFonts w:cs="Times New Roman"/>
          <w:sz w:val="36"/>
          <w:szCs w:val="36"/>
        </w:rPr>
        <w:t xml:space="preserve"> probate model is used. A strong challenger is defined as having held a previous judgeship and weak is not having held a previous judgeship. </w:t>
      </w:r>
      <w:r w:rsidR="00A0096E" w:rsidRPr="0069042F">
        <w:rPr>
          <w:rFonts w:cs="Times New Roman"/>
          <w:sz w:val="36"/>
          <w:szCs w:val="36"/>
        </w:rPr>
        <w:t xml:space="preserve">Data on prior judgeships was obtained from court websites.  </w:t>
      </w:r>
      <w:r w:rsidRPr="0069042F">
        <w:rPr>
          <w:rFonts w:cs="Times New Roman"/>
          <w:sz w:val="36"/>
          <w:szCs w:val="36"/>
        </w:rPr>
        <w:t>The incumbent’s ca</w:t>
      </w:r>
      <w:r w:rsidR="00D25633">
        <w:rPr>
          <w:rFonts w:cs="Times New Roman"/>
          <w:sz w:val="36"/>
          <w:szCs w:val="36"/>
        </w:rPr>
        <w:t xml:space="preserve">mpaign </w:t>
      </w:r>
      <w:proofErr w:type="spellStart"/>
      <w:r w:rsidR="00D25633">
        <w:rPr>
          <w:rFonts w:cs="Times New Roman"/>
          <w:sz w:val="36"/>
          <w:szCs w:val="36"/>
        </w:rPr>
        <w:t>war</w:t>
      </w:r>
      <w:r w:rsidRPr="0069042F">
        <w:rPr>
          <w:rFonts w:cs="Times New Roman"/>
          <w:sz w:val="36"/>
          <w:szCs w:val="36"/>
        </w:rPr>
        <w:t>chest</w:t>
      </w:r>
      <w:proofErr w:type="spellEnd"/>
      <w:r w:rsidRPr="0069042F">
        <w:rPr>
          <w:rFonts w:cs="Times New Roman"/>
          <w:sz w:val="36"/>
          <w:szCs w:val="36"/>
        </w:rPr>
        <w:t xml:space="preserve"> is the amount of money on hand at the beginning of the election cycle</w:t>
      </w:r>
      <w:r w:rsidR="00A0096E" w:rsidRPr="0069042F">
        <w:rPr>
          <w:rFonts w:cs="Times New Roman"/>
          <w:sz w:val="36"/>
          <w:szCs w:val="36"/>
        </w:rPr>
        <w:t>, which was obtained from secretary of state websites</w:t>
      </w:r>
      <w:r w:rsidR="00D25633">
        <w:rPr>
          <w:rFonts w:cs="Times New Roman"/>
          <w:sz w:val="36"/>
          <w:szCs w:val="36"/>
        </w:rPr>
        <w:t xml:space="preserve"> or other state agencies charged</w:t>
      </w:r>
      <w:r w:rsidR="00A0096E" w:rsidRPr="0069042F">
        <w:rPr>
          <w:rFonts w:cs="Times New Roman"/>
          <w:sz w:val="36"/>
          <w:szCs w:val="36"/>
        </w:rPr>
        <w:t xml:space="preserve"> with archiving campaign finance reports</w:t>
      </w:r>
      <w:r w:rsidRPr="0069042F">
        <w:rPr>
          <w:rFonts w:cs="Times New Roman"/>
          <w:sz w:val="36"/>
          <w:szCs w:val="36"/>
        </w:rPr>
        <w:t xml:space="preserve">. </w:t>
      </w:r>
      <w:r w:rsidR="00A0096E" w:rsidRPr="0069042F">
        <w:rPr>
          <w:rFonts w:cs="Times New Roman"/>
          <w:sz w:val="36"/>
          <w:szCs w:val="36"/>
        </w:rPr>
        <w:t xml:space="preserve">This variable is adjusted using the Consumer Price Index for 2006 dollars.  </w:t>
      </w:r>
      <w:r w:rsidRPr="0069042F">
        <w:rPr>
          <w:rFonts w:cs="Times New Roman"/>
          <w:sz w:val="36"/>
          <w:szCs w:val="36"/>
        </w:rPr>
        <w:t>Other important control variable</w:t>
      </w:r>
      <w:r w:rsidR="00A0096E" w:rsidRPr="0069042F">
        <w:rPr>
          <w:rFonts w:cs="Times New Roman"/>
          <w:sz w:val="36"/>
          <w:szCs w:val="36"/>
        </w:rPr>
        <w:t>s</w:t>
      </w:r>
      <w:r w:rsidRPr="0069042F">
        <w:rPr>
          <w:rFonts w:cs="Times New Roman"/>
          <w:sz w:val="36"/>
          <w:szCs w:val="36"/>
        </w:rPr>
        <w:t xml:space="preserve"> are the length of the states’ supreme court term measured in years, salary of the position to the nearest thousand dollars, the percentage of the vote the incumbent received in the prior election, and whether the election is partisan or non- partisan. </w:t>
      </w:r>
    </w:p>
    <w:p w14:paraId="6E16DCB9" w14:textId="77777777" w:rsidR="00FE0D08" w:rsidRDefault="00FE0D08" w:rsidP="008078AE">
      <w:pPr>
        <w:widowControl w:val="0"/>
        <w:autoSpaceDE w:val="0"/>
        <w:autoSpaceDN w:val="0"/>
        <w:adjustRightInd w:val="0"/>
        <w:spacing w:after="240"/>
        <w:ind w:firstLine="720"/>
        <w:rPr>
          <w:rFonts w:cs="Times New Roman"/>
          <w:sz w:val="36"/>
          <w:szCs w:val="36"/>
        </w:rPr>
      </w:pPr>
    </w:p>
    <w:p w14:paraId="7E1EAA34" w14:textId="77777777" w:rsidR="00FE0D08" w:rsidRDefault="00FE0D08" w:rsidP="008078AE">
      <w:pPr>
        <w:widowControl w:val="0"/>
        <w:autoSpaceDE w:val="0"/>
        <w:autoSpaceDN w:val="0"/>
        <w:adjustRightInd w:val="0"/>
        <w:spacing w:after="240"/>
        <w:ind w:firstLine="720"/>
        <w:rPr>
          <w:rFonts w:cs="Times New Roman"/>
          <w:sz w:val="36"/>
          <w:szCs w:val="36"/>
        </w:rPr>
      </w:pPr>
    </w:p>
    <w:p w14:paraId="6B19A321" w14:textId="77777777" w:rsidR="00DD11A6" w:rsidRDefault="00DD11A6" w:rsidP="008078AE">
      <w:pPr>
        <w:widowControl w:val="0"/>
        <w:autoSpaceDE w:val="0"/>
        <w:autoSpaceDN w:val="0"/>
        <w:adjustRightInd w:val="0"/>
        <w:spacing w:after="240"/>
        <w:ind w:firstLine="720"/>
        <w:rPr>
          <w:rFonts w:cs="Times New Roman"/>
          <w:sz w:val="36"/>
          <w:szCs w:val="36"/>
        </w:rPr>
        <w:sectPr w:rsidR="00DD11A6" w:rsidSect="00FE0D08">
          <w:pgSz w:w="15840" w:h="12240" w:orient="landscape"/>
          <w:pgMar w:top="1800" w:right="1440" w:bottom="792" w:left="1440" w:header="720" w:footer="720" w:gutter="0"/>
          <w:cols w:space="720"/>
          <w:docGrid w:linePitch="360"/>
        </w:sectPr>
      </w:pPr>
    </w:p>
    <w:p w14:paraId="47549037" w14:textId="2A8E5ADF" w:rsidR="00FE0D08" w:rsidRPr="00DD11A6" w:rsidRDefault="00DD11A6" w:rsidP="00DD11A6">
      <w:pPr>
        <w:widowControl w:val="0"/>
        <w:autoSpaceDE w:val="0"/>
        <w:autoSpaceDN w:val="0"/>
        <w:adjustRightInd w:val="0"/>
        <w:spacing w:after="240"/>
        <w:ind w:firstLine="720"/>
        <w:jc w:val="center"/>
        <w:rPr>
          <w:rFonts w:cs="Times New Roman"/>
          <w:sz w:val="52"/>
          <w:szCs w:val="52"/>
        </w:rPr>
      </w:pPr>
      <w:r w:rsidRPr="00DD11A6">
        <w:rPr>
          <w:rFonts w:cs="Times New Roman"/>
          <w:sz w:val="52"/>
          <w:szCs w:val="52"/>
        </w:rPr>
        <w:t>Results</w:t>
      </w:r>
    </w:p>
    <w:p w14:paraId="6CA05790" w14:textId="77777777" w:rsidR="00DD11A6" w:rsidRDefault="00DD11A6" w:rsidP="008078AE">
      <w:pPr>
        <w:widowControl w:val="0"/>
        <w:autoSpaceDE w:val="0"/>
        <w:autoSpaceDN w:val="0"/>
        <w:adjustRightInd w:val="0"/>
        <w:spacing w:after="240"/>
        <w:ind w:firstLine="720"/>
        <w:rPr>
          <w:rFonts w:cs="Times New Roman"/>
          <w:sz w:val="36"/>
          <w:szCs w:val="36"/>
        </w:rPr>
      </w:pPr>
    </w:p>
    <w:p w14:paraId="5E4C2759" w14:textId="77777777" w:rsidR="00DD11A6" w:rsidRDefault="00DD11A6" w:rsidP="008078AE">
      <w:pPr>
        <w:widowControl w:val="0"/>
        <w:autoSpaceDE w:val="0"/>
        <w:autoSpaceDN w:val="0"/>
        <w:adjustRightInd w:val="0"/>
        <w:spacing w:after="240"/>
        <w:ind w:firstLine="720"/>
        <w:rPr>
          <w:rFonts w:cs="Times New Roman"/>
          <w:sz w:val="36"/>
          <w:szCs w:val="36"/>
        </w:rPr>
      </w:pPr>
    </w:p>
    <w:tbl>
      <w:tblPr>
        <w:tblpPr w:leftFromText="180" w:rightFromText="180" w:vertAnchor="text" w:horzAnchor="page" w:tblpXSpec="center" w:tblpY="-2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DD11A6" w14:paraId="28169897" w14:textId="77777777" w:rsidTr="00DD11A6">
        <w:tc>
          <w:tcPr>
            <w:tcW w:w="8856" w:type="dxa"/>
            <w:gridSpan w:val="3"/>
            <w:tcBorders>
              <w:top w:val="thinThickSmallGap" w:sz="24" w:space="0" w:color="auto"/>
              <w:bottom w:val="single" w:sz="4" w:space="0" w:color="auto"/>
            </w:tcBorders>
            <w:vAlign w:val="bottom"/>
          </w:tcPr>
          <w:p w14:paraId="76AEB9B0" w14:textId="77777777" w:rsidR="00DD11A6" w:rsidRPr="00FE0D08" w:rsidRDefault="00DD11A6" w:rsidP="00DD11A6">
            <w:pPr>
              <w:spacing w:line="480" w:lineRule="auto"/>
              <w:rPr>
                <w:sz w:val="34"/>
                <w:szCs w:val="34"/>
              </w:rPr>
            </w:pPr>
            <w:r w:rsidRPr="00FE0D08">
              <w:rPr>
                <w:sz w:val="34"/>
                <w:szCs w:val="34"/>
              </w:rPr>
              <w:t xml:space="preserve">Bivariate </w:t>
            </w:r>
            <w:proofErr w:type="spellStart"/>
            <w:r w:rsidRPr="00FE0D08">
              <w:rPr>
                <w:sz w:val="34"/>
                <w:szCs w:val="34"/>
              </w:rPr>
              <w:t>Probit</w:t>
            </w:r>
            <w:proofErr w:type="spellEnd"/>
            <w:r w:rsidRPr="00FE0D08">
              <w:rPr>
                <w:sz w:val="34"/>
                <w:szCs w:val="34"/>
              </w:rPr>
              <w:t xml:space="preserve"> Coefficients for Challenger Emergence</w:t>
            </w:r>
          </w:p>
        </w:tc>
      </w:tr>
      <w:tr w:rsidR="00DD11A6" w14:paraId="3B789044" w14:textId="77777777" w:rsidTr="00DD11A6">
        <w:tc>
          <w:tcPr>
            <w:tcW w:w="2952" w:type="dxa"/>
            <w:tcBorders>
              <w:top w:val="single" w:sz="4" w:space="0" w:color="auto"/>
              <w:left w:val="single" w:sz="4" w:space="0" w:color="auto"/>
              <w:bottom w:val="single" w:sz="4" w:space="0" w:color="auto"/>
              <w:right w:val="nil"/>
            </w:tcBorders>
          </w:tcPr>
          <w:p w14:paraId="05E891E1" w14:textId="77777777" w:rsidR="00DD11A6" w:rsidRPr="00FE0D08" w:rsidRDefault="00DD11A6" w:rsidP="00DD11A6">
            <w:pPr>
              <w:spacing w:line="480" w:lineRule="auto"/>
              <w:rPr>
                <w:sz w:val="34"/>
                <w:szCs w:val="34"/>
              </w:rPr>
            </w:pPr>
          </w:p>
        </w:tc>
        <w:tc>
          <w:tcPr>
            <w:tcW w:w="2952" w:type="dxa"/>
            <w:tcBorders>
              <w:top w:val="single" w:sz="4" w:space="0" w:color="auto"/>
              <w:left w:val="nil"/>
              <w:bottom w:val="single" w:sz="4" w:space="0" w:color="auto"/>
              <w:right w:val="nil"/>
            </w:tcBorders>
            <w:vAlign w:val="bottom"/>
          </w:tcPr>
          <w:p w14:paraId="463120FB" w14:textId="77777777" w:rsidR="00DD11A6" w:rsidRPr="00FE0D08" w:rsidRDefault="00DD11A6" w:rsidP="00DD11A6">
            <w:pPr>
              <w:jc w:val="center"/>
              <w:rPr>
                <w:sz w:val="34"/>
                <w:szCs w:val="34"/>
              </w:rPr>
            </w:pPr>
            <w:r w:rsidRPr="00FE0D08">
              <w:rPr>
                <w:sz w:val="34"/>
                <w:szCs w:val="34"/>
              </w:rPr>
              <w:t>Strong Challenger</w:t>
            </w:r>
          </w:p>
        </w:tc>
        <w:tc>
          <w:tcPr>
            <w:tcW w:w="2952" w:type="dxa"/>
            <w:tcBorders>
              <w:top w:val="single" w:sz="4" w:space="0" w:color="auto"/>
              <w:left w:val="nil"/>
              <w:bottom w:val="single" w:sz="4" w:space="0" w:color="auto"/>
              <w:right w:val="single" w:sz="4" w:space="0" w:color="auto"/>
            </w:tcBorders>
            <w:vAlign w:val="bottom"/>
          </w:tcPr>
          <w:p w14:paraId="65CB1885" w14:textId="77777777" w:rsidR="00DD11A6" w:rsidRPr="00FE0D08" w:rsidRDefault="00DD11A6" w:rsidP="00DD11A6">
            <w:pPr>
              <w:jc w:val="center"/>
              <w:rPr>
                <w:sz w:val="34"/>
                <w:szCs w:val="34"/>
              </w:rPr>
            </w:pPr>
            <w:r w:rsidRPr="00FE0D08">
              <w:rPr>
                <w:sz w:val="34"/>
                <w:szCs w:val="34"/>
              </w:rPr>
              <w:t>Weak Challenger</w:t>
            </w:r>
          </w:p>
        </w:tc>
      </w:tr>
      <w:tr w:rsidR="00DD11A6" w14:paraId="37A53993" w14:textId="77777777" w:rsidTr="00DD11A6">
        <w:tc>
          <w:tcPr>
            <w:tcW w:w="2952" w:type="dxa"/>
            <w:tcBorders>
              <w:top w:val="single" w:sz="4" w:space="0" w:color="auto"/>
              <w:left w:val="single" w:sz="4" w:space="0" w:color="auto"/>
              <w:bottom w:val="nil"/>
              <w:right w:val="nil"/>
            </w:tcBorders>
          </w:tcPr>
          <w:p w14:paraId="1B435467" w14:textId="77777777" w:rsidR="00DD11A6" w:rsidRPr="00FE0D08" w:rsidRDefault="00DD11A6" w:rsidP="00DD11A6">
            <w:pPr>
              <w:rPr>
                <w:sz w:val="34"/>
                <w:szCs w:val="34"/>
              </w:rPr>
            </w:pPr>
            <w:r w:rsidRPr="00FE0D08">
              <w:rPr>
                <w:sz w:val="34"/>
                <w:szCs w:val="34"/>
              </w:rPr>
              <w:t>Constant</w:t>
            </w:r>
          </w:p>
        </w:tc>
        <w:tc>
          <w:tcPr>
            <w:tcW w:w="2952" w:type="dxa"/>
            <w:tcBorders>
              <w:top w:val="single" w:sz="4" w:space="0" w:color="auto"/>
              <w:left w:val="nil"/>
              <w:bottom w:val="nil"/>
              <w:right w:val="nil"/>
            </w:tcBorders>
          </w:tcPr>
          <w:p w14:paraId="0109A2C7" w14:textId="77777777" w:rsidR="00DD11A6" w:rsidRPr="00FE0D08" w:rsidRDefault="00DD11A6" w:rsidP="00DD11A6">
            <w:pPr>
              <w:jc w:val="center"/>
              <w:rPr>
                <w:sz w:val="34"/>
                <w:szCs w:val="34"/>
              </w:rPr>
            </w:pPr>
            <w:r w:rsidRPr="00FE0D08">
              <w:rPr>
                <w:sz w:val="34"/>
                <w:szCs w:val="34"/>
              </w:rPr>
              <w:t>-0.949</w:t>
            </w:r>
          </w:p>
          <w:p w14:paraId="69B657F9" w14:textId="77777777" w:rsidR="00DD11A6" w:rsidRPr="00FE0D08" w:rsidRDefault="00DD11A6" w:rsidP="00DD11A6">
            <w:pPr>
              <w:jc w:val="center"/>
              <w:rPr>
                <w:sz w:val="34"/>
                <w:szCs w:val="34"/>
              </w:rPr>
            </w:pPr>
            <w:r w:rsidRPr="00FE0D08">
              <w:rPr>
                <w:sz w:val="34"/>
                <w:szCs w:val="34"/>
              </w:rPr>
              <w:t>(2.041)</w:t>
            </w:r>
          </w:p>
        </w:tc>
        <w:tc>
          <w:tcPr>
            <w:tcW w:w="2952" w:type="dxa"/>
            <w:tcBorders>
              <w:top w:val="single" w:sz="4" w:space="0" w:color="auto"/>
              <w:left w:val="nil"/>
              <w:bottom w:val="nil"/>
              <w:right w:val="single" w:sz="4" w:space="0" w:color="auto"/>
            </w:tcBorders>
          </w:tcPr>
          <w:p w14:paraId="1359E7B1" w14:textId="77777777" w:rsidR="00DD11A6" w:rsidRPr="00FE0D08" w:rsidRDefault="00DD11A6" w:rsidP="00DD11A6">
            <w:pPr>
              <w:jc w:val="center"/>
              <w:rPr>
                <w:sz w:val="34"/>
                <w:szCs w:val="34"/>
              </w:rPr>
            </w:pPr>
            <w:r w:rsidRPr="00FE0D08">
              <w:rPr>
                <w:sz w:val="34"/>
                <w:szCs w:val="34"/>
              </w:rPr>
              <w:t>0.202</w:t>
            </w:r>
          </w:p>
          <w:p w14:paraId="7B1A3662" w14:textId="77777777" w:rsidR="00DD11A6" w:rsidRPr="00FE0D08" w:rsidRDefault="00DD11A6" w:rsidP="00DD11A6">
            <w:pPr>
              <w:jc w:val="center"/>
              <w:rPr>
                <w:sz w:val="34"/>
                <w:szCs w:val="34"/>
              </w:rPr>
            </w:pPr>
            <w:r w:rsidRPr="00FE0D08">
              <w:rPr>
                <w:sz w:val="34"/>
                <w:szCs w:val="34"/>
              </w:rPr>
              <w:t>(1.867)</w:t>
            </w:r>
          </w:p>
        </w:tc>
      </w:tr>
      <w:tr w:rsidR="00DD11A6" w14:paraId="06FFE075" w14:textId="77777777" w:rsidTr="00DD11A6">
        <w:tc>
          <w:tcPr>
            <w:tcW w:w="2952" w:type="dxa"/>
            <w:tcBorders>
              <w:top w:val="nil"/>
              <w:left w:val="single" w:sz="4" w:space="0" w:color="auto"/>
              <w:bottom w:val="nil"/>
              <w:right w:val="nil"/>
            </w:tcBorders>
          </w:tcPr>
          <w:p w14:paraId="589E8C80" w14:textId="77777777" w:rsidR="00DD11A6" w:rsidRPr="00FE0D08" w:rsidRDefault="00DD11A6" w:rsidP="00DD11A6">
            <w:pPr>
              <w:rPr>
                <w:sz w:val="34"/>
                <w:szCs w:val="34"/>
              </w:rPr>
            </w:pPr>
          </w:p>
        </w:tc>
        <w:tc>
          <w:tcPr>
            <w:tcW w:w="2952" w:type="dxa"/>
            <w:tcBorders>
              <w:top w:val="nil"/>
              <w:left w:val="nil"/>
              <w:bottom w:val="nil"/>
              <w:right w:val="nil"/>
            </w:tcBorders>
          </w:tcPr>
          <w:p w14:paraId="5580EB02" w14:textId="77777777" w:rsidR="00DD11A6" w:rsidRPr="00FE0D08" w:rsidRDefault="00DD11A6" w:rsidP="00DD11A6">
            <w:pPr>
              <w:jc w:val="center"/>
              <w:rPr>
                <w:sz w:val="34"/>
                <w:szCs w:val="34"/>
              </w:rPr>
            </w:pPr>
          </w:p>
        </w:tc>
        <w:tc>
          <w:tcPr>
            <w:tcW w:w="2952" w:type="dxa"/>
            <w:tcBorders>
              <w:top w:val="nil"/>
              <w:left w:val="nil"/>
              <w:bottom w:val="nil"/>
              <w:right w:val="single" w:sz="4" w:space="0" w:color="auto"/>
            </w:tcBorders>
          </w:tcPr>
          <w:p w14:paraId="4DC483C4" w14:textId="77777777" w:rsidR="00DD11A6" w:rsidRPr="00FE0D08" w:rsidRDefault="00DD11A6" w:rsidP="00DD11A6">
            <w:pPr>
              <w:jc w:val="center"/>
              <w:rPr>
                <w:sz w:val="34"/>
                <w:szCs w:val="34"/>
              </w:rPr>
            </w:pPr>
          </w:p>
        </w:tc>
      </w:tr>
      <w:tr w:rsidR="00DD11A6" w14:paraId="46951530" w14:textId="77777777" w:rsidTr="00DD11A6">
        <w:tc>
          <w:tcPr>
            <w:tcW w:w="2952" w:type="dxa"/>
            <w:tcBorders>
              <w:top w:val="nil"/>
              <w:left w:val="single" w:sz="4" w:space="0" w:color="auto"/>
              <w:bottom w:val="nil"/>
              <w:right w:val="nil"/>
            </w:tcBorders>
          </w:tcPr>
          <w:p w14:paraId="21528B59" w14:textId="77777777" w:rsidR="00DD11A6" w:rsidRPr="00FE0D08" w:rsidRDefault="00DD11A6" w:rsidP="00DD11A6">
            <w:pPr>
              <w:rPr>
                <w:sz w:val="34"/>
                <w:szCs w:val="34"/>
              </w:rPr>
            </w:pPr>
            <w:r w:rsidRPr="00FE0D08">
              <w:rPr>
                <w:sz w:val="34"/>
                <w:szCs w:val="34"/>
              </w:rPr>
              <w:t>War Chest</w:t>
            </w:r>
          </w:p>
        </w:tc>
        <w:tc>
          <w:tcPr>
            <w:tcW w:w="2952" w:type="dxa"/>
            <w:tcBorders>
              <w:top w:val="nil"/>
              <w:left w:val="nil"/>
              <w:bottom w:val="nil"/>
              <w:right w:val="nil"/>
            </w:tcBorders>
          </w:tcPr>
          <w:p w14:paraId="76B89A90" w14:textId="77777777" w:rsidR="00DD11A6" w:rsidRPr="00FE0D08" w:rsidRDefault="00DD11A6" w:rsidP="00DD11A6">
            <w:pPr>
              <w:jc w:val="center"/>
              <w:rPr>
                <w:sz w:val="34"/>
                <w:szCs w:val="34"/>
              </w:rPr>
            </w:pPr>
            <w:r w:rsidRPr="00FE0D08">
              <w:rPr>
                <w:sz w:val="34"/>
                <w:szCs w:val="34"/>
              </w:rPr>
              <w:t>-0.00002*</w:t>
            </w:r>
          </w:p>
          <w:p w14:paraId="230E8039" w14:textId="77777777" w:rsidR="00DD11A6" w:rsidRPr="00FE0D08" w:rsidRDefault="00DD11A6" w:rsidP="00DD11A6">
            <w:pPr>
              <w:jc w:val="center"/>
              <w:rPr>
                <w:sz w:val="34"/>
                <w:szCs w:val="34"/>
              </w:rPr>
            </w:pPr>
            <w:r w:rsidRPr="00FE0D08">
              <w:rPr>
                <w:sz w:val="34"/>
                <w:szCs w:val="34"/>
              </w:rPr>
              <w:t>(0.000006)</w:t>
            </w:r>
          </w:p>
        </w:tc>
        <w:tc>
          <w:tcPr>
            <w:tcW w:w="2952" w:type="dxa"/>
            <w:tcBorders>
              <w:top w:val="nil"/>
              <w:left w:val="nil"/>
              <w:bottom w:val="nil"/>
              <w:right w:val="single" w:sz="4" w:space="0" w:color="auto"/>
            </w:tcBorders>
          </w:tcPr>
          <w:p w14:paraId="7E59D28F" w14:textId="77777777" w:rsidR="00DD11A6" w:rsidRPr="00FE0D08" w:rsidRDefault="00DD11A6" w:rsidP="00DD11A6">
            <w:pPr>
              <w:jc w:val="center"/>
              <w:rPr>
                <w:sz w:val="34"/>
                <w:szCs w:val="34"/>
              </w:rPr>
            </w:pPr>
            <w:r w:rsidRPr="00FE0D08">
              <w:rPr>
                <w:sz w:val="34"/>
                <w:szCs w:val="34"/>
              </w:rPr>
              <w:t>-0.000001</w:t>
            </w:r>
          </w:p>
          <w:p w14:paraId="56EFBF92" w14:textId="77777777" w:rsidR="00DD11A6" w:rsidRPr="00FE0D08" w:rsidRDefault="00DD11A6" w:rsidP="00DD11A6">
            <w:pPr>
              <w:jc w:val="center"/>
              <w:rPr>
                <w:sz w:val="34"/>
                <w:szCs w:val="34"/>
              </w:rPr>
            </w:pPr>
            <w:r w:rsidRPr="00FE0D08">
              <w:rPr>
                <w:sz w:val="34"/>
                <w:szCs w:val="34"/>
              </w:rPr>
              <w:t>(0.000005)</w:t>
            </w:r>
          </w:p>
        </w:tc>
      </w:tr>
      <w:tr w:rsidR="00DD11A6" w14:paraId="02D5A397" w14:textId="77777777" w:rsidTr="00DD11A6">
        <w:tc>
          <w:tcPr>
            <w:tcW w:w="2952" w:type="dxa"/>
            <w:tcBorders>
              <w:top w:val="nil"/>
              <w:left w:val="single" w:sz="4" w:space="0" w:color="auto"/>
              <w:bottom w:val="nil"/>
              <w:right w:val="nil"/>
            </w:tcBorders>
          </w:tcPr>
          <w:p w14:paraId="605AA169" w14:textId="77777777" w:rsidR="00DD11A6" w:rsidRPr="00FE0D08" w:rsidRDefault="00DD11A6" w:rsidP="00DD11A6">
            <w:pPr>
              <w:rPr>
                <w:sz w:val="34"/>
                <w:szCs w:val="34"/>
              </w:rPr>
            </w:pPr>
          </w:p>
        </w:tc>
        <w:tc>
          <w:tcPr>
            <w:tcW w:w="2952" w:type="dxa"/>
            <w:tcBorders>
              <w:top w:val="nil"/>
              <w:left w:val="nil"/>
              <w:bottom w:val="nil"/>
              <w:right w:val="nil"/>
            </w:tcBorders>
          </w:tcPr>
          <w:p w14:paraId="0FEF2438" w14:textId="77777777" w:rsidR="00DD11A6" w:rsidRPr="00FE0D08" w:rsidRDefault="00DD11A6" w:rsidP="00DD11A6">
            <w:pPr>
              <w:jc w:val="center"/>
              <w:rPr>
                <w:sz w:val="34"/>
                <w:szCs w:val="34"/>
              </w:rPr>
            </w:pPr>
          </w:p>
        </w:tc>
        <w:tc>
          <w:tcPr>
            <w:tcW w:w="2952" w:type="dxa"/>
            <w:tcBorders>
              <w:top w:val="nil"/>
              <w:left w:val="nil"/>
              <w:bottom w:val="nil"/>
              <w:right w:val="single" w:sz="4" w:space="0" w:color="auto"/>
            </w:tcBorders>
          </w:tcPr>
          <w:p w14:paraId="644D4179" w14:textId="77777777" w:rsidR="00DD11A6" w:rsidRPr="00FE0D08" w:rsidRDefault="00DD11A6" w:rsidP="00DD11A6">
            <w:pPr>
              <w:jc w:val="center"/>
              <w:rPr>
                <w:sz w:val="34"/>
                <w:szCs w:val="34"/>
              </w:rPr>
            </w:pPr>
          </w:p>
        </w:tc>
      </w:tr>
      <w:tr w:rsidR="00DD11A6" w14:paraId="2100F8A9" w14:textId="77777777" w:rsidTr="00DD11A6">
        <w:tc>
          <w:tcPr>
            <w:tcW w:w="2952" w:type="dxa"/>
            <w:tcBorders>
              <w:top w:val="nil"/>
              <w:left w:val="single" w:sz="4" w:space="0" w:color="auto"/>
              <w:bottom w:val="nil"/>
              <w:right w:val="nil"/>
            </w:tcBorders>
          </w:tcPr>
          <w:p w14:paraId="58F18928" w14:textId="77777777" w:rsidR="00DD11A6" w:rsidRPr="00FE0D08" w:rsidRDefault="00DD11A6" w:rsidP="00DD11A6">
            <w:pPr>
              <w:rPr>
                <w:sz w:val="34"/>
                <w:szCs w:val="34"/>
              </w:rPr>
            </w:pPr>
            <w:r w:rsidRPr="00FE0D08">
              <w:rPr>
                <w:sz w:val="34"/>
                <w:szCs w:val="34"/>
              </w:rPr>
              <w:t>Length of Term</w:t>
            </w:r>
          </w:p>
        </w:tc>
        <w:tc>
          <w:tcPr>
            <w:tcW w:w="2952" w:type="dxa"/>
            <w:tcBorders>
              <w:top w:val="nil"/>
              <w:left w:val="nil"/>
              <w:bottom w:val="nil"/>
              <w:right w:val="nil"/>
            </w:tcBorders>
          </w:tcPr>
          <w:p w14:paraId="4527B14E" w14:textId="77777777" w:rsidR="00DD11A6" w:rsidRPr="00FE0D08" w:rsidRDefault="00DD11A6" w:rsidP="00DD11A6">
            <w:pPr>
              <w:jc w:val="center"/>
              <w:rPr>
                <w:sz w:val="34"/>
                <w:szCs w:val="34"/>
              </w:rPr>
            </w:pPr>
            <w:r w:rsidRPr="00FE0D08">
              <w:rPr>
                <w:sz w:val="34"/>
                <w:szCs w:val="34"/>
              </w:rPr>
              <w:t>-0.075</w:t>
            </w:r>
          </w:p>
          <w:p w14:paraId="1EC9CBCA" w14:textId="77777777" w:rsidR="00DD11A6" w:rsidRPr="00FE0D08" w:rsidRDefault="00DD11A6" w:rsidP="00DD11A6">
            <w:pPr>
              <w:jc w:val="center"/>
              <w:rPr>
                <w:sz w:val="34"/>
                <w:szCs w:val="34"/>
              </w:rPr>
            </w:pPr>
            <w:r w:rsidRPr="00FE0D08">
              <w:rPr>
                <w:sz w:val="34"/>
                <w:szCs w:val="34"/>
              </w:rPr>
              <w:t>(0.208)</w:t>
            </w:r>
          </w:p>
        </w:tc>
        <w:tc>
          <w:tcPr>
            <w:tcW w:w="2952" w:type="dxa"/>
            <w:tcBorders>
              <w:top w:val="nil"/>
              <w:left w:val="nil"/>
              <w:bottom w:val="nil"/>
              <w:right w:val="single" w:sz="4" w:space="0" w:color="auto"/>
            </w:tcBorders>
          </w:tcPr>
          <w:p w14:paraId="3E9BBEAD" w14:textId="77777777" w:rsidR="00DD11A6" w:rsidRPr="00FE0D08" w:rsidRDefault="00DD11A6" w:rsidP="00DD11A6">
            <w:pPr>
              <w:jc w:val="center"/>
              <w:rPr>
                <w:sz w:val="34"/>
                <w:szCs w:val="34"/>
              </w:rPr>
            </w:pPr>
            <w:r w:rsidRPr="00FE0D08">
              <w:rPr>
                <w:sz w:val="34"/>
                <w:szCs w:val="34"/>
              </w:rPr>
              <w:t>0.157</w:t>
            </w:r>
          </w:p>
          <w:p w14:paraId="77EED8D2" w14:textId="77777777" w:rsidR="00DD11A6" w:rsidRPr="00FE0D08" w:rsidRDefault="00DD11A6" w:rsidP="00DD11A6">
            <w:pPr>
              <w:jc w:val="center"/>
              <w:rPr>
                <w:sz w:val="34"/>
                <w:szCs w:val="34"/>
              </w:rPr>
            </w:pPr>
            <w:r w:rsidRPr="00FE0D08">
              <w:rPr>
                <w:sz w:val="34"/>
                <w:szCs w:val="34"/>
              </w:rPr>
              <w:t>(0.194)</w:t>
            </w:r>
          </w:p>
        </w:tc>
      </w:tr>
      <w:tr w:rsidR="00DD11A6" w14:paraId="64170AC9" w14:textId="77777777" w:rsidTr="00DD11A6">
        <w:tc>
          <w:tcPr>
            <w:tcW w:w="2952" w:type="dxa"/>
            <w:tcBorders>
              <w:top w:val="nil"/>
              <w:left w:val="single" w:sz="4" w:space="0" w:color="auto"/>
              <w:bottom w:val="nil"/>
              <w:right w:val="nil"/>
            </w:tcBorders>
          </w:tcPr>
          <w:p w14:paraId="3D503559" w14:textId="77777777" w:rsidR="00DD11A6" w:rsidRPr="00FE0D08" w:rsidRDefault="00DD11A6" w:rsidP="00DD11A6">
            <w:pPr>
              <w:rPr>
                <w:sz w:val="34"/>
                <w:szCs w:val="34"/>
              </w:rPr>
            </w:pPr>
          </w:p>
        </w:tc>
        <w:tc>
          <w:tcPr>
            <w:tcW w:w="2952" w:type="dxa"/>
            <w:tcBorders>
              <w:top w:val="nil"/>
              <w:left w:val="nil"/>
              <w:bottom w:val="nil"/>
              <w:right w:val="nil"/>
            </w:tcBorders>
          </w:tcPr>
          <w:p w14:paraId="491B7BE3" w14:textId="77777777" w:rsidR="00DD11A6" w:rsidRPr="00FE0D08" w:rsidRDefault="00DD11A6" w:rsidP="00DD11A6">
            <w:pPr>
              <w:jc w:val="center"/>
              <w:rPr>
                <w:sz w:val="34"/>
                <w:szCs w:val="34"/>
              </w:rPr>
            </w:pPr>
          </w:p>
        </w:tc>
        <w:tc>
          <w:tcPr>
            <w:tcW w:w="2952" w:type="dxa"/>
            <w:tcBorders>
              <w:top w:val="nil"/>
              <w:left w:val="nil"/>
              <w:bottom w:val="nil"/>
              <w:right w:val="single" w:sz="4" w:space="0" w:color="auto"/>
            </w:tcBorders>
          </w:tcPr>
          <w:p w14:paraId="3E6C842A" w14:textId="77777777" w:rsidR="00DD11A6" w:rsidRPr="00FE0D08" w:rsidRDefault="00DD11A6" w:rsidP="00DD11A6">
            <w:pPr>
              <w:jc w:val="center"/>
              <w:rPr>
                <w:sz w:val="34"/>
                <w:szCs w:val="34"/>
              </w:rPr>
            </w:pPr>
          </w:p>
        </w:tc>
      </w:tr>
      <w:tr w:rsidR="00DD11A6" w14:paraId="57FA6E2F" w14:textId="77777777" w:rsidTr="00DD11A6">
        <w:tc>
          <w:tcPr>
            <w:tcW w:w="2952" w:type="dxa"/>
            <w:tcBorders>
              <w:top w:val="nil"/>
              <w:left w:val="single" w:sz="4" w:space="0" w:color="auto"/>
              <w:bottom w:val="nil"/>
              <w:right w:val="nil"/>
            </w:tcBorders>
          </w:tcPr>
          <w:p w14:paraId="63059E74" w14:textId="77777777" w:rsidR="00DD11A6" w:rsidRPr="00FE0D08" w:rsidRDefault="00DD11A6" w:rsidP="00DD11A6">
            <w:pPr>
              <w:rPr>
                <w:sz w:val="34"/>
                <w:szCs w:val="34"/>
              </w:rPr>
            </w:pPr>
            <w:r w:rsidRPr="00FE0D08">
              <w:rPr>
                <w:sz w:val="34"/>
                <w:szCs w:val="34"/>
              </w:rPr>
              <w:t>Salary</w:t>
            </w:r>
          </w:p>
        </w:tc>
        <w:tc>
          <w:tcPr>
            <w:tcW w:w="2952" w:type="dxa"/>
            <w:tcBorders>
              <w:top w:val="nil"/>
              <w:left w:val="nil"/>
              <w:bottom w:val="nil"/>
              <w:right w:val="nil"/>
            </w:tcBorders>
          </w:tcPr>
          <w:p w14:paraId="699CB562" w14:textId="77777777" w:rsidR="00DD11A6" w:rsidRPr="00FE0D08" w:rsidRDefault="00DD11A6" w:rsidP="00DD11A6">
            <w:pPr>
              <w:jc w:val="center"/>
              <w:rPr>
                <w:sz w:val="34"/>
                <w:szCs w:val="34"/>
              </w:rPr>
            </w:pPr>
            <w:r w:rsidRPr="00FE0D08">
              <w:rPr>
                <w:sz w:val="34"/>
                <w:szCs w:val="34"/>
              </w:rPr>
              <w:t>0.00001</w:t>
            </w:r>
          </w:p>
          <w:p w14:paraId="3BE76A5C" w14:textId="77777777" w:rsidR="00DD11A6" w:rsidRPr="00FE0D08" w:rsidRDefault="00DD11A6" w:rsidP="00DD11A6">
            <w:pPr>
              <w:jc w:val="center"/>
              <w:rPr>
                <w:sz w:val="34"/>
                <w:szCs w:val="34"/>
              </w:rPr>
            </w:pPr>
            <w:r w:rsidRPr="00FE0D08">
              <w:rPr>
                <w:sz w:val="34"/>
                <w:szCs w:val="34"/>
              </w:rPr>
              <w:t>(0.0000071)</w:t>
            </w:r>
          </w:p>
        </w:tc>
        <w:tc>
          <w:tcPr>
            <w:tcW w:w="2952" w:type="dxa"/>
            <w:tcBorders>
              <w:top w:val="nil"/>
              <w:left w:val="nil"/>
              <w:bottom w:val="nil"/>
              <w:right w:val="single" w:sz="4" w:space="0" w:color="auto"/>
            </w:tcBorders>
          </w:tcPr>
          <w:p w14:paraId="37E82BA1" w14:textId="77777777" w:rsidR="00DD11A6" w:rsidRPr="00FE0D08" w:rsidRDefault="00DD11A6" w:rsidP="00DD11A6">
            <w:pPr>
              <w:jc w:val="center"/>
              <w:rPr>
                <w:sz w:val="34"/>
                <w:szCs w:val="34"/>
              </w:rPr>
            </w:pPr>
            <w:r w:rsidRPr="00FE0D08">
              <w:rPr>
                <w:sz w:val="34"/>
                <w:szCs w:val="34"/>
              </w:rPr>
              <w:t>-0.000005</w:t>
            </w:r>
          </w:p>
          <w:p w14:paraId="60DEA204" w14:textId="77777777" w:rsidR="00DD11A6" w:rsidRPr="00FE0D08" w:rsidRDefault="00DD11A6" w:rsidP="00DD11A6">
            <w:pPr>
              <w:jc w:val="center"/>
              <w:rPr>
                <w:sz w:val="34"/>
                <w:szCs w:val="34"/>
              </w:rPr>
            </w:pPr>
            <w:r w:rsidRPr="00FE0D08">
              <w:rPr>
                <w:sz w:val="34"/>
                <w:szCs w:val="34"/>
              </w:rPr>
              <w:t>(0.000007)</w:t>
            </w:r>
          </w:p>
        </w:tc>
      </w:tr>
      <w:tr w:rsidR="00DD11A6" w14:paraId="5D77E8FE" w14:textId="77777777" w:rsidTr="00DD11A6">
        <w:tc>
          <w:tcPr>
            <w:tcW w:w="2952" w:type="dxa"/>
            <w:tcBorders>
              <w:top w:val="nil"/>
              <w:left w:val="single" w:sz="4" w:space="0" w:color="auto"/>
              <w:bottom w:val="nil"/>
              <w:right w:val="nil"/>
            </w:tcBorders>
          </w:tcPr>
          <w:p w14:paraId="3D61EF25" w14:textId="77777777" w:rsidR="00DD11A6" w:rsidRPr="00FE0D08" w:rsidRDefault="00DD11A6" w:rsidP="00DD11A6">
            <w:pPr>
              <w:rPr>
                <w:sz w:val="34"/>
                <w:szCs w:val="34"/>
              </w:rPr>
            </w:pPr>
          </w:p>
        </w:tc>
        <w:tc>
          <w:tcPr>
            <w:tcW w:w="2952" w:type="dxa"/>
            <w:tcBorders>
              <w:top w:val="nil"/>
              <w:left w:val="nil"/>
              <w:bottom w:val="nil"/>
              <w:right w:val="nil"/>
            </w:tcBorders>
          </w:tcPr>
          <w:p w14:paraId="712031C2" w14:textId="77777777" w:rsidR="00DD11A6" w:rsidRPr="00FE0D08" w:rsidRDefault="00DD11A6" w:rsidP="00DD11A6">
            <w:pPr>
              <w:jc w:val="center"/>
              <w:rPr>
                <w:sz w:val="34"/>
                <w:szCs w:val="34"/>
              </w:rPr>
            </w:pPr>
          </w:p>
        </w:tc>
        <w:tc>
          <w:tcPr>
            <w:tcW w:w="2952" w:type="dxa"/>
            <w:tcBorders>
              <w:top w:val="nil"/>
              <w:left w:val="nil"/>
              <w:bottom w:val="nil"/>
              <w:right w:val="single" w:sz="4" w:space="0" w:color="auto"/>
            </w:tcBorders>
          </w:tcPr>
          <w:p w14:paraId="7B21DF13" w14:textId="77777777" w:rsidR="00DD11A6" w:rsidRPr="00FE0D08" w:rsidRDefault="00DD11A6" w:rsidP="00DD11A6">
            <w:pPr>
              <w:jc w:val="center"/>
              <w:rPr>
                <w:sz w:val="34"/>
                <w:szCs w:val="34"/>
              </w:rPr>
            </w:pPr>
          </w:p>
        </w:tc>
      </w:tr>
      <w:tr w:rsidR="00DD11A6" w14:paraId="07BBD45C" w14:textId="77777777" w:rsidTr="00DD11A6">
        <w:tc>
          <w:tcPr>
            <w:tcW w:w="2952" w:type="dxa"/>
            <w:tcBorders>
              <w:top w:val="nil"/>
              <w:left w:val="single" w:sz="4" w:space="0" w:color="auto"/>
              <w:bottom w:val="nil"/>
              <w:right w:val="nil"/>
            </w:tcBorders>
          </w:tcPr>
          <w:p w14:paraId="5C32334F" w14:textId="77777777" w:rsidR="00DD11A6" w:rsidRPr="00FE0D08" w:rsidRDefault="00DD11A6" w:rsidP="00DD11A6">
            <w:pPr>
              <w:rPr>
                <w:sz w:val="34"/>
                <w:szCs w:val="34"/>
              </w:rPr>
            </w:pPr>
            <w:r w:rsidRPr="00FE0D08">
              <w:rPr>
                <w:sz w:val="34"/>
                <w:szCs w:val="34"/>
              </w:rPr>
              <w:t>Partisan Election</w:t>
            </w:r>
          </w:p>
        </w:tc>
        <w:tc>
          <w:tcPr>
            <w:tcW w:w="2952" w:type="dxa"/>
            <w:tcBorders>
              <w:top w:val="nil"/>
              <w:left w:val="nil"/>
              <w:bottom w:val="nil"/>
              <w:right w:val="nil"/>
            </w:tcBorders>
          </w:tcPr>
          <w:p w14:paraId="0CE75224" w14:textId="77777777" w:rsidR="00DD11A6" w:rsidRPr="00FE0D08" w:rsidRDefault="00DD11A6" w:rsidP="00DD11A6">
            <w:pPr>
              <w:jc w:val="center"/>
              <w:rPr>
                <w:sz w:val="34"/>
                <w:szCs w:val="34"/>
              </w:rPr>
            </w:pPr>
            <w:r w:rsidRPr="00FE0D08">
              <w:rPr>
                <w:sz w:val="34"/>
                <w:szCs w:val="34"/>
              </w:rPr>
              <w:t>0.777*</w:t>
            </w:r>
          </w:p>
          <w:p w14:paraId="2146ECE5" w14:textId="77777777" w:rsidR="00DD11A6" w:rsidRPr="00FE0D08" w:rsidRDefault="00DD11A6" w:rsidP="00DD11A6">
            <w:pPr>
              <w:jc w:val="center"/>
              <w:rPr>
                <w:sz w:val="34"/>
                <w:szCs w:val="34"/>
              </w:rPr>
            </w:pPr>
            <w:r w:rsidRPr="00FE0D08">
              <w:rPr>
                <w:sz w:val="34"/>
                <w:szCs w:val="34"/>
              </w:rPr>
              <w:t>(.343)</w:t>
            </w:r>
          </w:p>
        </w:tc>
        <w:tc>
          <w:tcPr>
            <w:tcW w:w="2952" w:type="dxa"/>
            <w:tcBorders>
              <w:top w:val="nil"/>
              <w:left w:val="nil"/>
              <w:bottom w:val="nil"/>
              <w:right w:val="single" w:sz="4" w:space="0" w:color="auto"/>
            </w:tcBorders>
          </w:tcPr>
          <w:p w14:paraId="38FAE169" w14:textId="77777777" w:rsidR="00DD11A6" w:rsidRPr="00FE0D08" w:rsidRDefault="00DD11A6" w:rsidP="00DD11A6">
            <w:pPr>
              <w:jc w:val="center"/>
              <w:rPr>
                <w:sz w:val="34"/>
                <w:szCs w:val="34"/>
              </w:rPr>
            </w:pPr>
            <w:r w:rsidRPr="00FE0D08">
              <w:rPr>
                <w:sz w:val="34"/>
                <w:szCs w:val="34"/>
              </w:rPr>
              <w:t>-0.784*</w:t>
            </w:r>
          </w:p>
          <w:p w14:paraId="0BA65948" w14:textId="77777777" w:rsidR="00DD11A6" w:rsidRPr="00FE0D08" w:rsidRDefault="00DD11A6" w:rsidP="00DD11A6">
            <w:pPr>
              <w:jc w:val="center"/>
              <w:rPr>
                <w:sz w:val="34"/>
                <w:szCs w:val="34"/>
              </w:rPr>
            </w:pPr>
            <w:r w:rsidRPr="00FE0D08">
              <w:rPr>
                <w:sz w:val="34"/>
                <w:szCs w:val="34"/>
              </w:rPr>
              <w:t>(0.326)</w:t>
            </w:r>
          </w:p>
        </w:tc>
      </w:tr>
      <w:tr w:rsidR="00DD11A6" w14:paraId="701DCC71" w14:textId="77777777" w:rsidTr="00DD11A6">
        <w:tc>
          <w:tcPr>
            <w:tcW w:w="2952" w:type="dxa"/>
            <w:tcBorders>
              <w:top w:val="nil"/>
              <w:left w:val="single" w:sz="4" w:space="0" w:color="auto"/>
              <w:bottom w:val="nil"/>
              <w:right w:val="nil"/>
            </w:tcBorders>
          </w:tcPr>
          <w:p w14:paraId="4BCE7F8C" w14:textId="77777777" w:rsidR="00DD11A6" w:rsidRPr="00FE0D08" w:rsidRDefault="00DD11A6" w:rsidP="00DD11A6">
            <w:pPr>
              <w:rPr>
                <w:sz w:val="34"/>
                <w:szCs w:val="34"/>
              </w:rPr>
            </w:pPr>
          </w:p>
        </w:tc>
        <w:tc>
          <w:tcPr>
            <w:tcW w:w="2952" w:type="dxa"/>
            <w:tcBorders>
              <w:top w:val="nil"/>
              <w:left w:val="nil"/>
              <w:bottom w:val="nil"/>
              <w:right w:val="nil"/>
            </w:tcBorders>
          </w:tcPr>
          <w:p w14:paraId="4C000B8E" w14:textId="77777777" w:rsidR="00DD11A6" w:rsidRPr="00FE0D08" w:rsidRDefault="00DD11A6" w:rsidP="00DD11A6">
            <w:pPr>
              <w:jc w:val="center"/>
              <w:rPr>
                <w:sz w:val="34"/>
                <w:szCs w:val="34"/>
              </w:rPr>
            </w:pPr>
          </w:p>
        </w:tc>
        <w:tc>
          <w:tcPr>
            <w:tcW w:w="2952" w:type="dxa"/>
            <w:tcBorders>
              <w:top w:val="nil"/>
              <w:left w:val="nil"/>
              <w:bottom w:val="nil"/>
              <w:right w:val="single" w:sz="4" w:space="0" w:color="auto"/>
            </w:tcBorders>
          </w:tcPr>
          <w:p w14:paraId="38C81D6E" w14:textId="77777777" w:rsidR="00DD11A6" w:rsidRPr="00FE0D08" w:rsidRDefault="00DD11A6" w:rsidP="00DD11A6">
            <w:pPr>
              <w:jc w:val="center"/>
              <w:rPr>
                <w:sz w:val="34"/>
                <w:szCs w:val="34"/>
              </w:rPr>
            </w:pPr>
          </w:p>
        </w:tc>
      </w:tr>
      <w:tr w:rsidR="00DD11A6" w14:paraId="3C0D2BAA" w14:textId="77777777" w:rsidTr="00DD11A6">
        <w:tc>
          <w:tcPr>
            <w:tcW w:w="2952" w:type="dxa"/>
            <w:tcBorders>
              <w:top w:val="nil"/>
              <w:left w:val="single" w:sz="4" w:space="0" w:color="auto"/>
              <w:bottom w:val="single" w:sz="4" w:space="0" w:color="auto"/>
              <w:right w:val="nil"/>
            </w:tcBorders>
          </w:tcPr>
          <w:p w14:paraId="4238EFD4" w14:textId="77777777" w:rsidR="00DD11A6" w:rsidRPr="00FE0D08" w:rsidRDefault="00DD11A6" w:rsidP="00DD11A6">
            <w:pPr>
              <w:rPr>
                <w:sz w:val="34"/>
                <w:szCs w:val="34"/>
              </w:rPr>
            </w:pPr>
            <w:r w:rsidRPr="00FE0D08">
              <w:rPr>
                <w:sz w:val="34"/>
                <w:szCs w:val="34"/>
              </w:rPr>
              <w:t>Prior Vote of Incumbent</w:t>
            </w:r>
          </w:p>
        </w:tc>
        <w:tc>
          <w:tcPr>
            <w:tcW w:w="2952" w:type="dxa"/>
            <w:tcBorders>
              <w:top w:val="nil"/>
              <w:left w:val="nil"/>
              <w:bottom w:val="single" w:sz="4" w:space="0" w:color="auto"/>
              <w:right w:val="nil"/>
            </w:tcBorders>
          </w:tcPr>
          <w:p w14:paraId="1D557DB2" w14:textId="77777777" w:rsidR="00DD11A6" w:rsidRPr="00FE0D08" w:rsidRDefault="00DD11A6" w:rsidP="00DD11A6">
            <w:pPr>
              <w:jc w:val="center"/>
              <w:rPr>
                <w:sz w:val="34"/>
                <w:szCs w:val="34"/>
              </w:rPr>
            </w:pPr>
            <w:r w:rsidRPr="00FE0D08">
              <w:rPr>
                <w:sz w:val="34"/>
                <w:szCs w:val="34"/>
              </w:rPr>
              <w:t>-0.011</w:t>
            </w:r>
          </w:p>
          <w:p w14:paraId="73C3DBCB" w14:textId="77777777" w:rsidR="00DD11A6" w:rsidRPr="00FE0D08" w:rsidRDefault="00DD11A6" w:rsidP="00DD11A6">
            <w:pPr>
              <w:jc w:val="center"/>
              <w:rPr>
                <w:sz w:val="34"/>
                <w:szCs w:val="34"/>
              </w:rPr>
            </w:pPr>
            <w:r w:rsidRPr="00FE0D08">
              <w:rPr>
                <w:sz w:val="34"/>
                <w:szCs w:val="34"/>
              </w:rPr>
              <w:t>(0.007)</w:t>
            </w:r>
          </w:p>
        </w:tc>
        <w:tc>
          <w:tcPr>
            <w:tcW w:w="2952" w:type="dxa"/>
            <w:tcBorders>
              <w:top w:val="nil"/>
              <w:left w:val="nil"/>
              <w:bottom w:val="single" w:sz="4" w:space="0" w:color="auto"/>
              <w:right w:val="single" w:sz="4" w:space="0" w:color="auto"/>
            </w:tcBorders>
          </w:tcPr>
          <w:p w14:paraId="3BD3FB8C" w14:textId="77777777" w:rsidR="00DD11A6" w:rsidRPr="00FE0D08" w:rsidRDefault="00DD11A6" w:rsidP="00DD11A6">
            <w:pPr>
              <w:jc w:val="center"/>
              <w:rPr>
                <w:sz w:val="34"/>
                <w:szCs w:val="34"/>
              </w:rPr>
            </w:pPr>
            <w:r w:rsidRPr="00FE0D08">
              <w:rPr>
                <w:sz w:val="34"/>
                <w:szCs w:val="34"/>
              </w:rPr>
              <w:t>-0.007</w:t>
            </w:r>
          </w:p>
          <w:p w14:paraId="4E660CFD" w14:textId="77777777" w:rsidR="00DD11A6" w:rsidRPr="00FE0D08" w:rsidRDefault="00DD11A6" w:rsidP="00DD11A6">
            <w:pPr>
              <w:jc w:val="center"/>
              <w:rPr>
                <w:sz w:val="34"/>
                <w:szCs w:val="34"/>
              </w:rPr>
            </w:pPr>
            <w:r w:rsidRPr="00FE0D08">
              <w:rPr>
                <w:sz w:val="34"/>
                <w:szCs w:val="34"/>
              </w:rPr>
              <w:t>(0.007)</w:t>
            </w:r>
          </w:p>
        </w:tc>
      </w:tr>
      <w:tr w:rsidR="00DD11A6" w14:paraId="7AE2AA96" w14:textId="77777777" w:rsidTr="00DD11A6">
        <w:tc>
          <w:tcPr>
            <w:tcW w:w="8856" w:type="dxa"/>
            <w:gridSpan w:val="3"/>
            <w:tcBorders>
              <w:top w:val="single" w:sz="4" w:space="0" w:color="auto"/>
            </w:tcBorders>
          </w:tcPr>
          <w:p w14:paraId="6050E5DB" w14:textId="77777777" w:rsidR="00DD11A6" w:rsidRPr="00FE0D08" w:rsidRDefault="00DD11A6" w:rsidP="00DD11A6">
            <w:pPr>
              <w:rPr>
                <w:sz w:val="34"/>
                <w:szCs w:val="34"/>
              </w:rPr>
            </w:pPr>
            <w:r w:rsidRPr="00FE0D08">
              <w:rPr>
                <w:sz w:val="34"/>
                <w:szCs w:val="34"/>
              </w:rPr>
              <w:t xml:space="preserve">Standard errors are in parentheses.  </w:t>
            </w:r>
          </w:p>
          <w:p w14:paraId="1A8EFF3E" w14:textId="77777777" w:rsidR="00DD11A6" w:rsidRPr="00FE0D08" w:rsidRDefault="00DD11A6" w:rsidP="00DD11A6">
            <w:pPr>
              <w:rPr>
                <w:sz w:val="34"/>
                <w:szCs w:val="34"/>
              </w:rPr>
            </w:pPr>
            <w:r w:rsidRPr="00FE0D08">
              <w:rPr>
                <w:sz w:val="34"/>
                <w:szCs w:val="34"/>
              </w:rPr>
              <w:t xml:space="preserve">* </w:t>
            </w:r>
            <w:proofErr w:type="gramStart"/>
            <w:r w:rsidRPr="00FE0D08">
              <w:rPr>
                <w:sz w:val="34"/>
                <w:szCs w:val="34"/>
              </w:rPr>
              <w:t>p</w:t>
            </w:r>
            <w:proofErr w:type="gramEnd"/>
            <w:r w:rsidRPr="00FE0D08">
              <w:rPr>
                <w:sz w:val="34"/>
                <w:szCs w:val="34"/>
              </w:rPr>
              <w:t>&lt;0.05</w:t>
            </w:r>
          </w:p>
        </w:tc>
      </w:tr>
    </w:tbl>
    <w:p w14:paraId="122D59E3" w14:textId="77777777" w:rsidR="00FE0D08" w:rsidRDefault="00FE0D08" w:rsidP="008078AE">
      <w:pPr>
        <w:widowControl w:val="0"/>
        <w:autoSpaceDE w:val="0"/>
        <w:autoSpaceDN w:val="0"/>
        <w:adjustRightInd w:val="0"/>
        <w:spacing w:after="240"/>
        <w:ind w:firstLine="720"/>
        <w:rPr>
          <w:rFonts w:cs="Times New Roman"/>
          <w:sz w:val="36"/>
          <w:szCs w:val="36"/>
        </w:rPr>
      </w:pPr>
    </w:p>
    <w:p w14:paraId="37A1C0BA" w14:textId="77777777" w:rsidR="00DD11A6" w:rsidRDefault="00DD11A6" w:rsidP="008078AE">
      <w:pPr>
        <w:widowControl w:val="0"/>
        <w:autoSpaceDE w:val="0"/>
        <w:autoSpaceDN w:val="0"/>
        <w:adjustRightInd w:val="0"/>
        <w:spacing w:after="240"/>
        <w:ind w:firstLine="720"/>
        <w:rPr>
          <w:rFonts w:cs="Times New Roman"/>
          <w:sz w:val="36"/>
          <w:szCs w:val="36"/>
        </w:rPr>
        <w:sectPr w:rsidR="00DD11A6" w:rsidSect="00DD11A6">
          <w:pgSz w:w="12240" w:h="15840"/>
          <w:pgMar w:top="1440" w:right="1800" w:bottom="1440" w:left="792" w:header="720" w:footer="720" w:gutter="0"/>
          <w:cols w:space="720"/>
          <w:docGrid w:linePitch="360"/>
        </w:sectPr>
      </w:pPr>
    </w:p>
    <w:p w14:paraId="79748D8A" w14:textId="3721166F" w:rsidR="00FE0D08" w:rsidRPr="00DD11A6" w:rsidRDefault="00DD11A6" w:rsidP="008078AE">
      <w:pPr>
        <w:widowControl w:val="0"/>
        <w:autoSpaceDE w:val="0"/>
        <w:autoSpaceDN w:val="0"/>
        <w:adjustRightInd w:val="0"/>
        <w:spacing w:after="240"/>
        <w:ind w:firstLine="720"/>
        <w:rPr>
          <w:rFonts w:cs="Times New Roman"/>
          <w:sz w:val="52"/>
          <w:szCs w:val="52"/>
        </w:rPr>
      </w:pPr>
      <w:r w:rsidRPr="00DD11A6">
        <w:rPr>
          <w:rFonts w:cs="Times New Roman"/>
          <w:sz w:val="52"/>
          <w:szCs w:val="52"/>
        </w:rPr>
        <w:t>Conclusion</w:t>
      </w:r>
    </w:p>
    <w:p w14:paraId="6F1942B5" w14:textId="78562061" w:rsidR="00DD11A6" w:rsidRDefault="00DD11A6" w:rsidP="00CB354B">
      <w:pPr>
        <w:spacing w:line="480" w:lineRule="auto"/>
        <w:ind w:firstLine="720"/>
        <w:rPr>
          <w:rFonts w:cs="Times New Roman"/>
          <w:sz w:val="36"/>
          <w:szCs w:val="36"/>
        </w:rPr>
      </w:pPr>
      <w:r w:rsidRPr="00DD11A6">
        <w:rPr>
          <w:sz w:val="36"/>
          <w:szCs w:val="36"/>
        </w:rPr>
        <w:t xml:space="preserve">While the results above are consistent with </w:t>
      </w:r>
      <w:proofErr w:type="spellStart"/>
      <w:r w:rsidRPr="00DD11A6">
        <w:rPr>
          <w:sz w:val="36"/>
          <w:szCs w:val="36"/>
        </w:rPr>
        <w:t>Goodliffe’s</w:t>
      </w:r>
      <w:proofErr w:type="spellEnd"/>
      <w:r w:rsidRPr="00DD11A6">
        <w:rPr>
          <w:sz w:val="36"/>
          <w:szCs w:val="36"/>
        </w:rPr>
        <w:t xml:space="preserve"> (2001) conclusions regarding campaign war chests, the results above have the added artifact of occurring in both partisan and nonpartisan electoral systems. </w:t>
      </w:r>
      <w:r w:rsidR="00CB354B">
        <w:rPr>
          <w:sz w:val="36"/>
          <w:szCs w:val="36"/>
        </w:rPr>
        <w:t xml:space="preserve">What is interesting here </w:t>
      </w:r>
      <w:proofErr w:type="gramStart"/>
      <w:r w:rsidR="00CB354B">
        <w:rPr>
          <w:sz w:val="36"/>
          <w:szCs w:val="36"/>
        </w:rPr>
        <w:t xml:space="preserve">is </w:t>
      </w:r>
      <w:r w:rsidRPr="00DD11A6">
        <w:rPr>
          <w:sz w:val="36"/>
          <w:szCs w:val="36"/>
        </w:rPr>
        <w:t>state supreme court elections</w:t>
      </w:r>
      <w:proofErr w:type="gramEnd"/>
      <w:r w:rsidRPr="00DD11A6">
        <w:rPr>
          <w:sz w:val="36"/>
          <w:szCs w:val="36"/>
        </w:rPr>
        <w:t xml:space="preserve"> are low salience and low information elections.  This means that people know less about the candidates that are running.  With the absences of partisan cues on the ballot, nonpartisan elections provide an added challenge for voters.  This may be what explains the emergence of weak challengers in nonpartisan elections.  The low salience, low information aspect of the election gives weak challengers a better chance at winning.  </w:t>
      </w:r>
    </w:p>
    <w:p w14:paraId="0766E2B1" w14:textId="77777777" w:rsidR="00FE0D08" w:rsidRPr="0069042F" w:rsidRDefault="00FE0D08" w:rsidP="008078AE">
      <w:pPr>
        <w:widowControl w:val="0"/>
        <w:autoSpaceDE w:val="0"/>
        <w:autoSpaceDN w:val="0"/>
        <w:adjustRightInd w:val="0"/>
        <w:spacing w:after="240"/>
        <w:ind w:firstLine="720"/>
        <w:rPr>
          <w:rFonts w:cs="Times New Roman"/>
          <w:sz w:val="36"/>
          <w:szCs w:val="36"/>
        </w:rPr>
      </w:pPr>
    </w:p>
    <w:p w14:paraId="1824E41F" w14:textId="5586C1DB" w:rsidR="002B4D8D" w:rsidRDefault="002B4D8D">
      <w:pPr>
        <w:rPr>
          <w:rFonts w:cs="Times New Roman"/>
          <w:sz w:val="36"/>
          <w:szCs w:val="36"/>
        </w:rPr>
      </w:pPr>
      <w:r>
        <w:rPr>
          <w:rFonts w:cs="Times New Roman"/>
          <w:sz w:val="36"/>
          <w:szCs w:val="36"/>
        </w:rPr>
        <w:br w:type="page"/>
      </w:r>
    </w:p>
    <w:p w14:paraId="5A504324" w14:textId="77777777" w:rsidR="003B6E1D" w:rsidRPr="0069042F" w:rsidRDefault="003B6E1D" w:rsidP="002B4D8D">
      <w:pPr>
        <w:widowControl w:val="0"/>
        <w:autoSpaceDE w:val="0"/>
        <w:autoSpaceDN w:val="0"/>
        <w:adjustRightInd w:val="0"/>
        <w:spacing w:after="240"/>
        <w:jc w:val="center"/>
        <w:rPr>
          <w:rFonts w:cs="Times New Roman"/>
          <w:sz w:val="52"/>
          <w:szCs w:val="52"/>
        </w:rPr>
      </w:pPr>
      <w:r w:rsidRPr="0069042F">
        <w:rPr>
          <w:rFonts w:cs="Times New Roman"/>
          <w:sz w:val="52"/>
          <w:szCs w:val="52"/>
        </w:rPr>
        <w:t>References</w:t>
      </w:r>
    </w:p>
    <w:p w14:paraId="542C99AA" w14:textId="77777777" w:rsidR="003B6E1D" w:rsidRPr="0069042F" w:rsidRDefault="003B6E1D" w:rsidP="001C0BDE">
      <w:pPr>
        <w:widowControl w:val="0"/>
        <w:autoSpaceDE w:val="0"/>
        <w:autoSpaceDN w:val="0"/>
        <w:adjustRightInd w:val="0"/>
        <w:spacing w:after="240"/>
        <w:ind w:left="720" w:hanging="720"/>
        <w:rPr>
          <w:rFonts w:cs="Times"/>
          <w:sz w:val="36"/>
          <w:szCs w:val="36"/>
        </w:rPr>
      </w:pPr>
      <w:proofErr w:type="gramStart"/>
      <w:r w:rsidRPr="0069042F">
        <w:rPr>
          <w:rFonts w:cs="Times New Roman"/>
          <w:sz w:val="36"/>
          <w:szCs w:val="36"/>
        </w:rPr>
        <w:t>Box-</w:t>
      </w:r>
      <w:proofErr w:type="spellStart"/>
      <w:r w:rsidRPr="0069042F">
        <w:rPr>
          <w:rFonts w:cs="Times New Roman"/>
          <w:sz w:val="36"/>
          <w:szCs w:val="36"/>
        </w:rPr>
        <w:t>Steffensmeier</w:t>
      </w:r>
      <w:proofErr w:type="spellEnd"/>
      <w:r w:rsidRPr="0069042F">
        <w:rPr>
          <w:rFonts w:cs="Times New Roman"/>
          <w:sz w:val="36"/>
          <w:szCs w:val="36"/>
        </w:rPr>
        <w:t>, Janet.</w:t>
      </w:r>
      <w:proofErr w:type="gramEnd"/>
      <w:r w:rsidRPr="0069042F">
        <w:rPr>
          <w:rFonts w:cs="Times New Roman"/>
          <w:sz w:val="36"/>
          <w:szCs w:val="36"/>
        </w:rPr>
        <w:t xml:space="preserve"> 1996. “A Dynamic Analysis of The Role of War Chests in Campaign Strategy.” </w:t>
      </w:r>
      <w:r w:rsidRPr="0012061C">
        <w:rPr>
          <w:rFonts w:cs="Times"/>
          <w:i/>
          <w:sz w:val="36"/>
          <w:szCs w:val="36"/>
        </w:rPr>
        <w:t>American Journal of Political Science</w:t>
      </w:r>
      <w:r w:rsidRPr="0069042F">
        <w:rPr>
          <w:rFonts w:cs="Times"/>
          <w:sz w:val="36"/>
          <w:szCs w:val="36"/>
        </w:rPr>
        <w:t xml:space="preserve"> </w:t>
      </w:r>
      <w:r w:rsidRPr="0069042F">
        <w:rPr>
          <w:rFonts w:cs="Times New Roman"/>
          <w:sz w:val="36"/>
          <w:szCs w:val="36"/>
        </w:rPr>
        <w:t>40(2): 352-371.</w:t>
      </w:r>
    </w:p>
    <w:p w14:paraId="4E0FE393" w14:textId="77777777" w:rsidR="003B6E1D" w:rsidRPr="0069042F" w:rsidRDefault="003B6E1D" w:rsidP="001C0BDE">
      <w:pPr>
        <w:widowControl w:val="0"/>
        <w:autoSpaceDE w:val="0"/>
        <w:autoSpaceDN w:val="0"/>
        <w:adjustRightInd w:val="0"/>
        <w:spacing w:after="240"/>
        <w:ind w:left="720" w:hanging="720"/>
        <w:rPr>
          <w:rFonts w:cs="Times"/>
          <w:sz w:val="36"/>
          <w:szCs w:val="36"/>
        </w:rPr>
      </w:pPr>
      <w:proofErr w:type="spellStart"/>
      <w:r w:rsidRPr="0069042F">
        <w:rPr>
          <w:rFonts w:cs="Times New Roman"/>
          <w:sz w:val="36"/>
          <w:szCs w:val="36"/>
        </w:rPr>
        <w:t>Goodliffe</w:t>
      </w:r>
      <w:proofErr w:type="spellEnd"/>
      <w:r w:rsidRPr="0069042F">
        <w:rPr>
          <w:rFonts w:cs="Times New Roman"/>
          <w:sz w:val="36"/>
          <w:szCs w:val="36"/>
        </w:rPr>
        <w:t xml:space="preserve">, Jay. 2001. “The Effect of War Chests on Challenger Entry in U.S. House Elections.” </w:t>
      </w:r>
      <w:r w:rsidRPr="0012061C">
        <w:rPr>
          <w:rFonts w:cs="Times"/>
          <w:i/>
          <w:sz w:val="36"/>
          <w:szCs w:val="36"/>
        </w:rPr>
        <w:t>American Journal of Political Science</w:t>
      </w:r>
      <w:r w:rsidRPr="0069042F">
        <w:rPr>
          <w:rFonts w:cs="Times"/>
          <w:sz w:val="36"/>
          <w:szCs w:val="36"/>
        </w:rPr>
        <w:t xml:space="preserve"> </w:t>
      </w:r>
      <w:r w:rsidRPr="0069042F">
        <w:rPr>
          <w:rFonts w:cs="Times New Roman"/>
          <w:sz w:val="36"/>
          <w:szCs w:val="36"/>
        </w:rPr>
        <w:t>45(4): 830-844.</w:t>
      </w:r>
    </w:p>
    <w:p w14:paraId="529A6FEB" w14:textId="77777777" w:rsidR="0069042F" w:rsidRPr="0069042F" w:rsidRDefault="0069042F" w:rsidP="001C0BDE">
      <w:pPr>
        <w:widowControl w:val="0"/>
        <w:autoSpaceDE w:val="0"/>
        <w:autoSpaceDN w:val="0"/>
        <w:adjustRightInd w:val="0"/>
        <w:spacing w:after="240"/>
        <w:ind w:left="720" w:hanging="720"/>
        <w:rPr>
          <w:rFonts w:cs="Times"/>
          <w:sz w:val="36"/>
          <w:szCs w:val="36"/>
        </w:rPr>
      </w:pPr>
      <w:r w:rsidRPr="0069042F">
        <w:rPr>
          <w:rFonts w:cs="Times New Roman"/>
          <w:sz w:val="36"/>
          <w:szCs w:val="36"/>
        </w:rPr>
        <w:t xml:space="preserve">Hall, Melinda Gann and Chris </w:t>
      </w:r>
      <w:proofErr w:type="spellStart"/>
      <w:r w:rsidRPr="0069042F">
        <w:rPr>
          <w:rFonts w:cs="Times New Roman"/>
          <w:sz w:val="36"/>
          <w:szCs w:val="36"/>
        </w:rPr>
        <w:t>Boneau</w:t>
      </w:r>
      <w:proofErr w:type="spellEnd"/>
      <w:r w:rsidRPr="0069042F">
        <w:rPr>
          <w:rFonts w:cs="Times New Roman"/>
          <w:sz w:val="36"/>
          <w:szCs w:val="36"/>
        </w:rPr>
        <w:t xml:space="preserve">. 2006. “Does Quality Matter? Challengers in State Supreme Court Elections.” </w:t>
      </w:r>
      <w:r w:rsidRPr="0012061C">
        <w:rPr>
          <w:rFonts w:cs="Times"/>
          <w:i/>
          <w:sz w:val="36"/>
          <w:szCs w:val="36"/>
        </w:rPr>
        <w:t>American Journal of Political Science</w:t>
      </w:r>
      <w:r w:rsidRPr="0069042F">
        <w:rPr>
          <w:rFonts w:cs="Times"/>
          <w:sz w:val="36"/>
          <w:szCs w:val="36"/>
        </w:rPr>
        <w:t xml:space="preserve"> </w:t>
      </w:r>
      <w:r w:rsidRPr="0069042F">
        <w:rPr>
          <w:rFonts w:cs="Times New Roman"/>
          <w:sz w:val="36"/>
          <w:szCs w:val="36"/>
        </w:rPr>
        <w:t>50</w:t>
      </w:r>
      <w:r w:rsidR="0012061C">
        <w:rPr>
          <w:rFonts w:cs="Times New Roman"/>
          <w:sz w:val="36"/>
          <w:szCs w:val="36"/>
        </w:rPr>
        <w:t>(1)</w:t>
      </w:r>
      <w:r w:rsidRPr="0069042F">
        <w:rPr>
          <w:rFonts w:cs="Times New Roman"/>
          <w:sz w:val="36"/>
          <w:szCs w:val="36"/>
        </w:rPr>
        <w:t>: 20- 33.</w:t>
      </w:r>
    </w:p>
    <w:p w14:paraId="09C46B55" w14:textId="77777777" w:rsidR="0069042F" w:rsidRDefault="0069042F" w:rsidP="001C0BDE">
      <w:pPr>
        <w:widowControl w:val="0"/>
        <w:autoSpaceDE w:val="0"/>
        <w:autoSpaceDN w:val="0"/>
        <w:adjustRightInd w:val="0"/>
        <w:spacing w:after="240"/>
        <w:ind w:left="720" w:hanging="720"/>
        <w:rPr>
          <w:rFonts w:cs="Times New Roman"/>
          <w:sz w:val="36"/>
          <w:szCs w:val="36"/>
        </w:rPr>
      </w:pPr>
      <w:r w:rsidRPr="0069042F">
        <w:rPr>
          <w:rFonts w:cs="Times New Roman"/>
          <w:sz w:val="36"/>
          <w:szCs w:val="36"/>
        </w:rPr>
        <w:t xml:space="preserve">Hogan, Robert. 2001. “Campaign War Chests and </w:t>
      </w:r>
      <w:r w:rsidR="0012061C" w:rsidRPr="0069042F">
        <w:rPr>
          <w:rFonts w:cs="Times New Roman"/>
          <w:sz w:val="36"/>
          <w:szCs w:val="36"/>
        </w:rPr>
        <w:t>Challenger</w:t>
      </w:r>
      <w:r w:rsidRPr="0069042F">
        <w:rPr>
          <w:rFonts w:cs="Times New Roman"/>
          <w:sz w:val="36"/>
          <w:szCs w:val="36"/>
        </w:rPr>
        <w:t xml:space="preserve"> Emergence in State Legislative Elections.” </w:t>
      </w:r>
      <w:r w:rsidRPr="0012061C">
        <w:rPr>
          <w:rFonts w:cs="Times"/>
          <w:i/>
          <w:sz w:val="36"/>
          <w:szCs w:val="36"/>
        </w:rPr>
        <w:t>Political Research Quarterly</w:t>
      </w:r>
      <w:r w:rsidRPr="0069042F">
        <w:rPr>
          <w:rFonts w:cs="Times"/>
          <w:sz w:val="36"/>
          <w:szCs w:val="36"/>
        </w:rPr>
        <w:t xml:space="preserve"> </w:t>
      </w:r>
      <w:r w:rsidRPr="0069042F">
        <w:rPr>
          <w:rFonts w:cs="Times New Roman"/>
          <w:sz w:val="36"/>
          <w:szCs w:val="36"/>
        </w:rPr>
        <w:t>54(4): 815-830.</w:t>
      </w:r>
    </w:p>
    <w:p w14:paraId="4F565101" w14:textId="77777777" w:rsidR="0012061C" w:rsidRDefault="0012061C" w:rsidP="0012061C">
      <w:pPr>
        <w:widowControl w:val="0"/>
        <w:autoSpaceDE w:val="0"/>
        <w:autoSpaceDN w:val="0"/>
        <w:adjustRightInd w:val="0"/>
        <w:spacing w:after="240"/>
        <w:rPr>
          <w:rFonts w:cs="Times New Roman"/>
          <w:sz w:val="36"/>
          <w:szCs w:val="36"/>
        </w:rPr>
      </w:pPr>
      <w:r>
        <w:rPr>
          <w:rFonts w:cs="Times New Roman"/>
          <w:sz w:val="36"/>
          <w:szCs w:val="36"/>
        </w:rPr>
        <w:t xml:space="preserve">Kahn, Kim F. and Patrick J. Kenney.  1999.  </w:t>
      </w:r>
      <w:r w:rsidRPr="0012061C">
        <w:rPr>
          <w:rFonts w:cs="Times New Roman"/>
          <w:i/>
          <w:sz w:val="36"/>
          <w:szCs w:val="36"/>
        </w:rPr>
        <w:t>The Spectacle of U.S. Senate Campaigns.</w:t>
      </w:r>
      <w:r>
        <w:rPr>
          <w:rFonts w:cs="Times New Roman"/>
          <w:sz w:val="36"/>
          <w:szCs w:val="36"/>
        </w:rPr>
        <w:t xml:space="preserve">  </w:t>
      </w:r>
      <w:proofErr w:type="gramStart"/>
      <w:r>
        <w:rPr>
          <w:rFonts w:cs="Times New Roman"/>
          <w:sz w:val="36"/>
          <w:szCs w:val="36"/>
        </w:rPr>
        <w:t>Princeton University Press.</w:t>
      </w:r>
      <w:proofErr w:type="gramEnd"/>
    </w:p>
    <w:p w14:paraId="3D6E64E3" w14:textId="67791F08" w:rsidR="002B4D8D" w:rsidRDefault="002B4D8D">
      <w:pPr>
        <w:rPr>
          <w:rFonts w:cs="Times New Roman"/>
          <w:sz w:val="36"/>
          <w:szCs w:val="36"/>
        </w:rPr>
      </w:pPr>
      <w:r>
        <w:rPr>
          <w:rFonts w:cs="Times New Roman"/>
          <w:sz w:val="36"/>
          <w:szCs w:val="36"/>
        </w:rPr>
        <w:br w:type="page"/>
      </w:r>
    </w:p>
    <w:p w14:paraId="4F2123EB" w14:textId="77777777" w:rsidR="00AC48B5" w:rsidRDefault="00AC48B5" w:rsidP="00AC48B5">
      <w:pPr>
        <w:widowControl w:val="0"/>
        <w:autoSpaceDE w:val="0"/>
        <w:autoSpaceDN w:val="0"/>
        <w:adjustRightInd w:val="0"/>
        <w:spacing w:after="240"/>
        <w:ind w:left="720" w:hanging="720"/>
        <w:jc w:val="center"/>
        <w:rPr>
          <w:rFonts w:cs="Times New Roman"/>
          <w:sz w:val="52"/>
          <w:szCs w:val="52"/>
        </w:rPr>
      </w:pPr>
      <w:r w:rsidRPr="00AC48B5">
        <w:rPr>
          <w:rFonts w:cs="Times New Roman"/>
          <w:sz w:val="52"/>
          <w:szCs w:val="52"/>
        </w:rPr>
        <w:t>Acknowledgements</w:t>
      </w:r>
    </w:p>
    <w:p w14:paraId="456BC4D7" w14:textId="77777777" w:rsidR="00AC48B5" w:rsidRDefault="00AC48B5" w:rsidP="00AC48B5">
      <w:pPr>
        <w:widowControl w:val="0"/>
        <w:autoSpaceDE w:val="0"/>
        <w:autoSpaceDN w:val="0"/>
        <w:adjustRightInd w:val="0"/>
        <w:spacing w:after="240"/>
        <w:rPr>
          <w:rFonts w:cs="Times New Roman"/>
          <w:sz w:val="36"/>
          <w:szCs w:val="36"/>
        </w:rPr>
      </w:pPr>
      <w:r w:rsidRPr="00AC48B5">
        <w:rPr>
          <w:rFonts w:cs="Times New Roman"/>
          <w:sz w:val="36"/>
          <w:szCs w:val="36"/>
        </w:rPr>
        <w:t xml:space="preserve">I would like to thank Tobin Grant, Jeremy Phillips, and Scott </w:t>
      </w:r>
      <w:proofErr w:type="spellStart"/>
      <w:r w:rsidRPr="00AC48B5">
        <w:rPr>
          <w:rFonts w:cs="Times New Roman"/>
          <w:sz w:val="36"/>
          <w:szCs w:val="36"/>
        </w:rPr>
        <w:t>McClurg</w:t>
      </w:r>
      <w:proofErr w:type="spellEnd"/>
      <w:r w:rsidRPr="00AC48B5">
        <w:rPr>
          <w:rFonts w:cs="Times New Roman"/>
          <w:sz w:val="36"/>
          <w:szCs w:val="36"/>
        </w:rPr>
        <w:t xml:space="preserve"> for their helpful comments and suggestions.  All error</w:t>
      </w:r>
      <w:r>
        <w:rPr>
          <w:rFonts w:cs="Times New Roman"/>
          <w:sz w:val="36"/>
          <w:szCs w:val="36"/>
        </w:rPr>
        <w:t>s</w:t>
      </w:r>
      <w:r w:rsidRPr="00AC48B5">
        <w:rPr>
          <w:rFonts w:cs="Times New Roman"/>
          <w:sz w:val="36"/>
          <w:szCs w:val="36"/>
        </w:rPr>
        <w:t xml:space="preserve"> remain the responsibility of the author.</w:t>
      </w:r>
      <w:r>
        <w:rPr>
          <w:rFonts w:cs="Times New Roman"/>
          <w:sz w:val="36"/>
          <w:szCs w:val="36"/>
        </w:rPr>
        <w:t xml:space="preserve"> </w:t>
      </w:r>
    </w:p>
    <w:p w14:paraId="526B371C" w14:textId="77777777" w:rsidR="00AC48B5" w:rsidRPr="0069042F" w:rsidRDefault="00AC48B5" w:rsidP="001C0BDE">
      <w:pPr>
        <w:widowControl w:val="0"/>
        <w:autoSpaceDE w:val="0"/>
        <w:autoSpaceDN w:val="0"/>
        <w:adjustRightInd w:val="0"/>
        <w:spacing w:after="240"/>
        <w:ind w:left="720" w:hanging="720"/>
        <w:rPr>
          <w:rFonts w:cs="Times"/>
          <w:sz w:val="36"/>
          <w:szCs w:val="36"/>
        </w:rPr>
      </w:pPr>
    </w:p>
    <w:p w14:paraId="762E0030" w14:textId="77777777" w:rsidR="003B6E1D" w:rsidRPr="0069042F" w:rsidRDefault="003B6E1D" w:rsidP="00FB6070">
      <w:pPr>
        <w:widowControl w:val="0"/>
        <w:autoSpaceDE w:val="0"/>
        <w:autoSpaceDN w:val="0"/>
        <w:adjustRightInd w:val="0"/>
        <w:spacing w:after="240"/>
        <w:rPr>
          <w:rFonts w:cs="Times"/>
          <w:sz w:val="36"/>
          <w:szCs w:val="36"/>
        </w:rPr>
      </w:pPr>
    </w:p>
    <w:p w14:paraId="5DCA3B87" w14:textId="77777777" w:rsidR="00FB6070" w:rsidRPr="0069042F" w:rsidRDefault="00FB6070">
      <w:pPr>
        <w:rPr>
          <w:sz w:val="36"/>
          <w:szCs w:val="36"/>
        </w:rPr>
      </w:pPr>
    </w:p>
    <w:sectPr w:rsidR="00FB6070" w:rsidRPr="0069042F" w:rsidSect="00FE0D08">
      <w:pgSz w:w="15840" w:h="12240" w:orient="landscape"/>
      <w:pgMar w:top="1800" w:right="1440" w:bottom="79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A07"/>
    <w:rsid w:val="00111363"/>
    <w:rsid w:val="0012061C"/>
    <w:rsid w:val="001C0BDE"/>
    <w:rsid w:val="00217108"/>
    <w:rsid w:val="002B4D8D"/>
    <w:rsid w:val="002E5329"/>
    <w:rsid w:val="003B6E1D"/>
    <w:rsid w:val="004C1A07"/>
    <w:rsid w:val="0069042F"/>
    <w:rsid w:val="006D4DF8"/>
    <w:rsid w:val="00713C84"/>
    <w:rsid w:val="008078AE"/>
    <w:rsid w:val="00812546"/>
    <w:rsid w:val="00A0096E"/>
    <w:rsid w:val="00AC48B5"/>
    <w:rsid w:val="00C478B9"/>
    <w:rsid w:val="00CB354B"/>
    <w:rsid w:val="00D25633"/>
    <w:rsid w:val="00DD11A6"/>
    <w:rsid w:val="00FB6070"/>
    <w:rsid w:val="00FE0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9E914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25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1254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25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1254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190273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9</Pages>
  <Words>839</Words>
  <Characters>4783</Characters>
  <Application>Microsoft Macintosh Word</Application>
  <DocSecurity>0</DocSecurity>
  <Lines>39</Lines>
  <Paragraphs>11</Paragraphs>
  <ScaleCrop>false</ScaleCrop>
  <Company>Murray State University</Company>
  <LinksUpToDate>false</LinksUpToDate>
  <CharactersWithSpaces>5611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Seib</dc:creator>
  <cp:keywords/>
  <dc:description/>
  <cp:lastModifiedBy>Drew Seib</cp:lastModifiedBy>
  <cp:revision>7</cp:revision>
  <cp:lastPrinted>2016-04-28T14:22:00Z</cp:lastPrinted>
  <dcterms:created xsi:type="dcterms:W3CDTF">2015-12-01T03:31:00Z</dcterms:created>
  <dcterms:modified xsi:type="dcterms:W3CDTF">2016-05-02T13:40:00Z</dcterms:modified>
</cp:coreProperties>
</file>